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13.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15.xml" ContentType="application/vnd.openxmlformats-officedocument.wordprocessingml.header+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footer14.xml" ContentType="application/vnd.openxmlformats-officedocument.wordprocessingml.footer+xml"/>
  <Override PartName="/word/footer6.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20" w:after="0"/>
        <w:ind w:left="4395" w:hanging="11"/>
        <w:rPr>
          <w:sz w:val="28"/>
          <w:szCs w:val="28"/>
        </w:rPr>
      </w:pPr>
      <w:r>
        <w:rPr/>
        <w:drawing>
          <wp:inline distT="0" distB="0" distL="0" distR="0">
            <wp:extent cx="694055" cy="33401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694055" cy="334010"/>
                    </a:xfrm>
                    <a:prstGeom prst="rect">
                      <a:avLst/>
                    </a:prstGeom>
                  </pic:spPr>
                </pic:pic>
              </a:graphicData>
            </a:graphic>
          </wp:inline>
        </w:drawing>
      </w:r>
    </w:p>
    <w:p>
      <w:pPr>
        <w:pStyle w:val="Normal"/>
        <w:keepNext w:val="true"/>
        <w:keepLines/>
        <w:spacing w:before="0" w:after="0"/>
        <w:jc w:val="center"/>
        <w:rPr>
          <w:b/>
          <w:bCs/>
          <w:caps/>
          <w:sz w:val="20"/>
          <w:szCs w:val="20"/>
        </w:rPr>
      </w:pPr>
      <w:r>
        <w:rPr>
          <w:b/>
          <w:bCs/>
          <w:sz w:val="20"/>
          <w:szCs w:val="20"/>
        </w:rPr>
        <w:t>Акционерное общество «Дальневосточная генерирующая компания»</w:t>
      </w:r>
    </w:p>
    <w:p>
      <w:pPr>
        <w:pStyle w:val="Style22"/>
        <w:keepNext w:val="true"/>
        <w:ind w:left="4536" w:hanging="0"/>
        <w:rPr/>
      </w:pPr>
      <w:r>
        <w:rPr/>
      </w:r>
    </w:p>
    <w:p>
      <w:pPr>
        <w:pStyle w:val="Style22"/>
        <w:keepNext w:val="true"/>
        <w:ind w:left="4536" w:hanging="0"/>
        <w:rPr>
          <w:highlight w:val="none"/>
        </w:rPr>
      </w:pPr>
      <w:r>
        <w:rPr/>
      </w:r>
    </w:p>
    <w:p>
      <w:pPr>
        <w:pStyle w:val="Style22"/>
        <w:keepNext w:val="true"/>
        <w:ind w:left="4536" w:hanging="0"/>
        <w:rPr>
          <w:highlight w:val="none"/>
        </w:rPr>
      </w:pPr>
      <w:r>
        <w:rPr/>
      </w:r>
    </w:p>
    <w:p>
      <w:pPr>
        <w:pStyle w:val="Tableheader"/>
        <w:widowControl w:val="false"/>
        <w:spacing w:lineRule="auto" w:line="240" w:before="0" w:after="0"/>
        <w:jc w:val="right"/>
        <w:rPr>
          <w:b w:val="false"/>
          <w:sz w:val="26"/>
          <w:szCs w:val="26"/>
        </w:rPr>
      </w:pPr>
      <w:r>
        <w:rPr>
          <w:b w:val="false"/>
          <w:sz w:val="26"/>
          <w:szCs w:val="26"/>
        </w:rPr>
        <w:t>«УТВЕРЖДАЮ»</w:t>
      </w:r>
    </w:p>
    <w:p>
      <w:pPr>
        <w:pStyle w:val="Tableheader"/>
        <w:widowControl w:val="false"/>
        <w:spacing w:lineRule="auto" w:line="240" w:before="0" w:after="0"/>
        <w:jc w:val="right"/>
        <w:rPr>
          <w:b w:val="false"/>
          <w:sz w:val="26"/>
          <w:szCs w:val="26"/>
        </w:rPr>
      </w:pPr>
      <w:r>
        <w:rPr>
          <w:b w:val="false"/>
          <w:sz w:val="26"/>
          <w:szCs w:val="26"/>
        </w:rPr>
        <w:t xml:space="preserve">                                                                                            </w:t>
      </w:r>
      <w:r>
        <w:rPr>
          <w:b w:val="false"/>
          <w:sz w:val="26"/>
          <w:szCs w:val="26"/>
        </w:rPr>
        <w:t>Председатель закупочной комиссии АО «ДГК» 1 уровня-</w:t>
      </w:r>
    </w:p>
    <w:p>
      <w:pPr>
        <w:pStyle w:val="Tableheader"/>
        <w:widowControl w:val="false"/>
        <w:spacing w:lineRule="auto" w:line="240" w:before="0" w:after="0"/>
        <w:jc w:val="right"/>
        <w:rPr>
          <w:b w:val="false"/>
          <w:bCs w:val="false"/>
          <w:sz w:val="26"/>
          <w:szCs w:val="26"/>
        </w:rPr>
      </w:pPr>
      <w:r>
        <w:rPr>
          <w:b w:val="false"/>
          <w:sz w:val="26"/>
          <w:szCs w:val="26"/>
        </w:rPr>
        <w:t xml:space="preserve">Заместитель Генерального директора </w:t>
      </w:r>
    </w:p>
    <w:p>
      <w:pPr>
        <w:pStyle w:val="Tableheader"/>
        <w:widowControl w:val="false"/>
        <w:spacing w:lineRule="auto" w:line="240" w:before="0" w:after="0"/>
        <w:jc w:val="right"/>
        <w:rPr>
          <w:b w:val="false"/>
          <w:bCs w:val="false"/>
          <w:sz w:val="26"/>
          <w:szCs w:val="26"/>
        </w:rPr>
      </w:pPr>
      <w:r>
        <w:rPr>
          <w:b w:val="false"/>
          <w:sz w:val="26"/>
          <w:szCs w:val="26"/>
        </w:rPr>
        <w:t>по управлению ресурсами</w:t>
      </w:r>
    </w:p>
    <w:p>
      <w:pPr>
        <w:pStyle w:val="Tableheader"/>
        <w:widowControl w:val="false"/>
        <w:spacing w:lineRule="auto" w:line="240" w:before="0" w:after="0"/>
        <w:jc w:val="right"/>
        <w:rPr>
          <w:b w:val="false"/>
          <w:sz w:val="26"/>
          <w:szCs w:val="26"/>
        </w:rPr>
      </w:pPr>
      <w:r>
        <w:rPr>
          <w:b w:val="false"/>
          <w:sz w:val="26"/>
          <w:szCs w:val="26"/>
        </w:rPr>
        <w:t xml:space="preserve">  </w:t>
      </w:r>
    </w:p>
    <w:p>
      <w:pPr>
        <w:pStyle w:val="Tableheader"/>
        <w:widowControl w:val="false"/>
        <w:spacing w:lineRule="auto" w:line="240" w:before="0" w:after="0"/>
        <w:jc w:val="right"/>
        <w:rPr>
          <w:b w:val="false"/>
          <w:sz w:val="26"/>
          <w:szCs w:val="26"/>
        </w:rPr>
      </w:pPr>
      <w:r>
        <w:rPr>
          <w:b w:val="false"/>
          <w:sz w:val="26"/>
          <w:szCs w:val="26"/>
        </w:rPr>
        <w:t xml:space="preserve">                                                                                          </w:t>
      </w:r>
      <w:r>
        <w:rPr>
          <w:b w:val="false"/>
          <w:sz w:val="26"/>
          <w:szCs w:val="26"/>
        </w:rPr>
        <w:t>__________Д. А. Богонатов</w:t>
      </w:r>
    </w:p>
    <w:p>
      <w:pPr>
        <w:pStyle w:val="Normal"/>
        <w:spacing w:lineRule="auto" w:line="240" w:before="0" w:after="0"/>
        <w:ind w:hanging="11"/>
        <w:rPr>
          <w:sz w:val="26"/>
          <w:szCs w:val="26"/>
        </w:rPr>
      </w:pPr>
      <w:r>
        <w:rPr>
          <w:sz w:val="26"/>
          <w:szCs w:val="26"/>
        </w:rPr>
        <w:t xml:space="preserve">                                                                                                            </w:t>
      </w:r>
    </w:p>
    <w:p>
      <w:pPr>
        <w:pStyle w:val="Normal"/>
        <w:spacing w:lineRule="auto" w:line="240" w:before="0" w:after="0"/>
        <w:ind w:left="0" w:hanging="11"/>
        <w:jc w:val="right"/>
        <w:rPr>
          <w:sz w:val="26"/>
          <w:szCs w:val="26"/>
        </w:rPr>
      </w:pPr>
      <w:r>
        <w:rPr>
          <w:sz w:val="26"/>
          <w:szCs w:val="26"/>
        </w:rPr>
        <w:t xml:space="preserve">                                                                                                  </w:t>
      </w:r>
      <w:r>
        <w:rPr>
          <w:sz w:val="26"/>
          <w:szCs w:val="26"/>
        </w:rPr>
        <w:t>«___» ___________</w:t>
      </w:r>
      <w:r>
        <w:rPr>
          <w:b w:val="false"/>
          <w:bCs w:val="false"/>
          <w:sz w:val="26"/>
          <w:szCs w:val="26"/>
        </w:rPr>
        <w:t>2026</w:t>
      </w:r>
      <w:r>
        <w:rPr>
          <w:sz w:val="26"/>
          <w:szCs w:val="26"/>
        </w:rPr>
        <w:t xml:space="preserve"> год</w:t>
      </w:r>
    </w:p>
    <w:p>
      <w:pPr>
        <w:pStyle w:val="Style22"/>
        <w:keepNext w:val="true"/>
        <w:ind w:left="4536" w:hanging="0"/>
        <w:rPr/>
      </w:pPr>
      <w:r>
        <w:rPr/>
      </w:r>
    </w:p>
    <w:p>
      <w:pPr>
        <w:pStyle w:val="Style22"/>
        <w:rPr/>
      </w:pPr>
      <w:r>
        <w:rPr/>
      </w:r>
    </w:p>
    <w:p>
      <w:pPr>
        <w:pStyle w:val="Style22"/>
        <w:rPr/>
      </w:pPr>
      <w:r>
        <w:rPr/>
      </w:r>
    </w:p>
    <w:p>
      <w:pPr>
        <w:pStyle w:val="Style22"/>
        <w:rPr/>
      </w:pPr>
      <w:r>
        <w:rPr/>
      </w:r>
    </w:p>
    <w:p>
      <w:pPr>
        <w:pStyle w:val="Style22"/>
        <w:rPr/>
      </w:pPr>
      <w:r>
        <w:rPr/>
      </w:r>
    </w:p>
    <w:p>
      <w:pPr>
        <w:pStyle w:val="Style22"/>
        <w:rPr/>
      </w:pPr>
      <w:r>
        <w:rPr/>
      </w:r>
    </w:p>
    <w:p>
      <w:pPr>
        <w:pStyle w:val="Style22"/>
        <w:keepNext w:val="true"/>
        <w:numPr>
          <w:ilvl w:val="0"/>
          <w:numId w:val="0"/>
        </w:numPr>
        <w:ind w:left="0" w:hanging="0"/>
        <w:jc w:val="center"/>
        <w:outlineLvl w:val="2"/>
        <w:rPr>
          <w:b/>
          <w:bCs/>
          <w:caps/>
        </w:rPr>
      </w:pPr>
      <w:r>
        <w:rPr>
          <w:b/>
          <w:bCs/>
          <w:caps/>
        </w:rPr>
        <w:t>Документация о закупке</w:t>
      </w:r>
    </w:p>
    <w:p>
      <w:pPr>
        <w:pStyle w:val="Style22"/>
        <w:keepNext w:val="true"/>
        <w:spacing w:before="240" w:after="0"/>
        <w:jc w:val="center"/>
        <w:rPr>
          <w:rStyle w:val="Style3"/>
        </w:rPr>
      </w:pPr>
      <w:r>
        <w:rPr/>
        <w:t>Конкурс в электронной форме,</w:t>
        <w:br/>
        <w:t>на право заключения договора на ОКПД2 27.12.10.110 Поставка вакуумных выключателей 6-10 кВ для нужд АО "ДГК".</w:t>
      </w:r>
      <w:r>
        <w:rPr>
          <w:b w:val="false"/>
          <w:bCs w:val="false"/>
          <w:i w:val="false"/>
          <w:iCs w:val="false"/>
          <w:highlight w:val="white"/>
        </w:rPr>
        <w:t>Лот №  12016013-РЕМ ПРОД-2027-ДГК</w:t>
      </w:r>
    </w:p>
    <w:p>
      <w:pPr>
        <w:pStyle w:val="Style22"/>
        <w:rPr/>
      </w:pPr>
      <w:r>
        <w:rPr/>
      </w:r>
    </w:p>
    <w:p>
      <w:pPr>
        <w:pStyle w:val="Style21"/>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r>
            <w:fldChar w:fldCharType="begin"/>
          </w:r>
          <w:r>
            <w:rPr>
              <w:webHidden/>
              <w:rStyle w:val="Style13"/>
              <w:vanish w:val="false"/>
            </w:rPr>
            <w:instrText xml:space="preserve"> TOC \z \u \t "[РГ] Перечисление,5,[РГ] Подпункт,4,[РГ] Пункт,3,[РГ] Подраздел,2,[РГ] Раздел,1,[РГ] Раздел,1,[РГ] Раздел,1,[РГ] Подраздел,2,[РГ] Подраздел,2,[РГ] Пункт,3,[РГ] Подпункт,4,[РГ] Перечисление,5" \h</w:instrText>
          </w:r>
          <w:r>
            <w:rPr>
              <w:webHidden/>
              <w:rStyle w:val="Style13"/>
              <w:vanish w:val="false"/>
            </w:rPr>
            <w:fldChar w:fldCharType="separate"/>
          </w:r>
          <w:hyperlink w:anchor="_Toc230928825" w:tgtFrame="#_Toc230928825">
            <w:r>
              <w:rPr>
                <w:webHidden/>
              </w:rPr>
              <w:fldChar w:fldCharType="begin"/>
            </w:r>
            <w:r>
              <w:rPr>
                <w:webHidden/>
              </w:rPr>
              <w:instrText xml:space="preserve">PAGEREF _Toc230928825 \h</w:instrText>
            </w:r>
            <w:r>
              <w:rPr>
                <w:webHidden/>
              </w:rPr>
              <w:fldChar w:fldCharType="separate"/>
            </w:r>
            <w:r>
              <w:rPr>
                <w:webHidden/>
                <w:rStyle w:val="Style13"/>
                <w:vanish w:val="false"/>
              </w:rPr>
              <w:t>Сокращения</w:t>
              <w:tab/>
              <w:t>6</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26" w:tgtFrame="#_Toc230928826">
            <w:r>
              <w:rPr>
                <w:webHidden/>
              </w:rPr>
              <w:fldChar w:fldCharType="begin"/>
            </w:r>
            <w:r>
              <w:rPr>
                <w:webHidden/>
              </w:rPr>
              <w:instrText xml:space="preserve">PAGEREF _Toc230928826 \h</w:instrText>
            </w:r>
            <w:r>
              <w:rPr>
                <w:webHidden/>
              </w:rPr>
              <w:fldChar w:fldCharType="separate"/>
            </w:r>
            <w:r>
              <w:rPr>
                <w:webHidden/>
                <w:rStyle w:val="Style13"/>
                <w:vanish w:val="false"/>
              </w:rPr>
              <w:t>Термины и определения</w:t>
              <w:tab/>
              <w:t>8</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27" w:tgtFrame="#_Toc230928827">
            <w:r>
              <w:rPr>
                <w:webHidden/>
                <w:rStyle w:val="Style13"/>
                <w:vanish w:val="false"/>
              </w:rPr>
              <w:t>1.</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_Toc230928827 \h</w:instrText>
            </w:r>
            <w:r>
              <w:rPr>
                <w:webHidden/>
              </w:rPr>
              <w:fldChar w:fldCharType="separate"/>
            </w:r>
            <w:r>
              <w:rPr>
                <w:rStyle w:val="Style13"/>
              </w:rPr>
              <w:t>Основные сведения о закупке</w:t>
              <w:tab/>
              <w:t>12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28" w:tgtFrame="#_Toc230928828">
            <w:r>
              <w:rPr>
                <w:webHidden/>
                <w:rStyle w:val="Style13"/>
                <w:vanish w:val="false"/>
              </w:rPr>
              <w:t>1.1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_Toc230928828 \h</w:instrText>
            </w:r>
            <w:r>
              <w:rPr>
                <w:webHidden/>
              </w:rPr>
              <w:fldChar w:fldCharType="separate"/>
            </w:r>
            <w:r>
              <w:rPr>
                <w:rStyle w:val="Style13"/>
              </w:rPr>
              <w:t>Статус настоящего раздела</w:t>
              <w:tab/>
              <w:t>12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29" w:tgtFrame="#_Toc230928829">
            <w:r>
              <w:rPr>
                <w:webHidden/>
                <w:rStyle w:val="Style13"/>
                <w:vanish w:val="false"/>
              </w:rPr>
              <w:t>1.2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_Toc230928829 \h</w:instrText>
            </w:r>
            <w:r>
              <w:rPr>
                <w:webHidden/>
              </w:rPr>
              <w:fldChar w:fldCharType="separate"/>
            </w:r>
            <w:r>
              <w:rPr>
                <w:rStyle w:val="Style13"/>
              </w:rPr>
              <w:t>Информация о проводимой закупке</w:t>
              <w:tab/>
              <w:t>12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30" w:tgtFrame="#_Toc230928830">
            <w:r>
              <w:rPr>
                <w:webHidden/>
                <w:rStyle w:val="Style13"/>
                <w:vanish w:val="false"/>
              </w:rPr>
              <w:t>2.</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_Toc230928830 \h</w:instrText>
            </w:r>
            <w:r>
              <w:rPr>
                <w:webHidden/>
              </w:rPr>
              <w:fldChar w:fldCharType="separate"/>
            </w:r>
            <w:r>
              <w:rPr>
                <w:rStyle w:val="Style13"/>
              </w:rPr>
              <w:t>Общие положения</w:t>
              <w:tab/>
              <w:t>24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1" w:tgtFrame="#_Toc230928831">
            <w:r>
              <w:rPr>
                <w:webHidden/>
                <w:rStyle w:val="Style13"/>
                <w:vanish w:val="false"/>
              </w:rPr>
              <w:t>2.1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_Toc230928831 \h</w:instrText>
            </w:r>
            <w:r>
              <w:rPr>
                <w:webHidden/>
              </w:rPr>
              <w:fldChar w:fldCharType="separate"/>
            </w:r>
            <w:r>
              <w:rPr>
                <w:rStyle w:val="Style13"/>
              </w:rPr>
              <w:t>Общие сведения о закупке</w:t>
              <w:tab/>
              <w:t>24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2" w:tgtFrame="#_Toc230928832">
            <w:r>
              <w:rPr>
                <w:webHidden/>
                <w:rStyle w:val="Style13"/>
                <w:vanish w:val="false"/>
              </w:rPr>
              <w:t>2.2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_Toc230928832 \h</w:instrText>
            </w:r>
            <w:r>
              <w:rPr>
                <w:webHidden/>
              </w:rPr>
              <w:fldChar w:fldCharType="separate"/>
            </w:r>
            <w:r>
              <w:rPr>
                <w:rStyle w:val="Style13"/>
              </w:rPr>
              <w:t>Правовой статус документов</w:t>
              <w:tab/>
              <w:t>24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3" w:tgtFrame="#_Toc230928833">
            <w:r>
              <w:rPr>
                <w:webHidden/>
                <w:rStyle w:val="Style13"/>
                <w:vanish w:val="false"/>
              </w:rPr>
              <w:t>2.3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_Toc230928833 \h</w:instrText>
            </w:r>
            <w:r>
              <w:rPr>
                <w:webHidden/>
              </w:rPr>
              <w:fldChar w:fldCharType="separate"/>
            </w:r>
            <w:r>
              <w:rPr>
                <w:rStyle w:val="Style13"/>
              </w:rPr>
              <w:t>Обжалование</w:t>
              <w:tab/>
              <w:t>25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4" w:tgtFrame="#_Toc230928834">
            <w:r>
              <w:rPr>
                <w:webHidden/>
                <w:rStyle w:val="Style13"/>
                <w:vanish w:val="false"/>
              </w:rPr>
              <w:t>2.4</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_Toc230928834 \h</w:instrText>
            </w:r>
            <w:r>
              <w:rPr>
                <w:webHidden/>
              </w:rPr>
              <w:fldChar w:fldCharType="separate"/>
            </w:r>
            <w:r>
              <w:rPr>
                <w:rStyle w:val="Style13"/>
              </w:rPr>
              <w:t>Особые положения при проведении закупки с использованием ЭП</w:t>
              <w:tab/>
              <w:t>26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5" w:tgtFrame="#_Toc230928835">
            <w:r>
              <w:rPr>
                <w:webHidden/>
                <w:rStyle w:val="Style13"/>
                <w:vanish w:val="false"/>
              </w:rPr>
              <w:t>2.5</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_Toc230928835 \h</w:instrText>
            </w:r>
            <w:r>
              <w:rPr>
                <w:webHidden/>
              </w:rPr>
              <w:fldChar w:fldCharType="separate"/>
            </w:r>
            <w:r>
              <w:rPr>
                <w:rStyle w:val="Style13"/>
              </w:rPr>
              <w:t>Прочие положения</w:t>
              <w:tab/>
              <w:t>26</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36" w:tgtFrame="#_Toc230928836">
            <w:r>
              <w:rPr>
                <w:webHidden/>
                <w:rStyle w:val="Style13"/>
                <w:vanish w:val="false"/>
              </w:rPr>
              <w:t>3.</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_Toc230928836 \h</w:instrText>
            </w:r>
            <w:r>
              <w:rPr>
                <w:webHidden/>
              </w:rPr>
              <w:fldChar w:fldCharType="separate"/>
            </w:r>
            <w:r>
              <w:rPr>
                <w:rStyle w:val="Style13"/>
              </w:rPr>
              <w:t>Требования к Участникам</w:t>
              <w:tab/>
              <w:t>28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7" w:tgtFrame="#_Toc230928837">
            <w:r>
              <w:rPr>
                <w:webHidden/>
                <w:rStyle w:val="Style13"/>
                <w:vanish w:val="false"/>
              </w:rPr>
              <w:t>3.1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_Toc230928837 \h</w:instrText>
            </w:r>
            <w:r>
              <w:rPr>
                <w:webHidden/>
              </w:rPr>
              <w:fldChar w:fldCharType="separate"/>
            </w:r>
            <w:r>
              <w:rPr>
                <w:rStyle w:val="Style13"/>
              </w:rPr>
              <w:t>Общие требования к Участникам</w:t>
              <w:tab/>
              <w:t>28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8" w:tgtFrame="#_Toc230928838">
            <w:r>
              <w:rPr>
                <w:webHidden/>
                <w:rStyle w:val="Style13"/>
                <w:vanish w:val="false"/>
              </w:rPr>
              <w:t>3.2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_Toc230928838 \h</w:instrText>
            </w:r>
            <w:r>
              <w:rPr>
                <w:webHidden/>
              </w:rPr>
              <w:fldChar w:fldCharType="separate"/>
            </w:r>
            <w:r>
              <w:rPr>
                <w:rStyle w:val="Style13"/>
              </w:rPr>
              <w:t>Коллективные участники</w:t>
              <w:tab/>
              <w:t>28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39" w:tgtFrame="#_Toc230928839">
            <w:r>
              <w:rPr>
                <w:webHidden/>
                <w:rStyle w:val="Style13"/>
                <w:vanish w:val="false"/>
              </w:rPr>
              <w:t>3.3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_Toc230928839 \h</w:instrText>
            </w:r>
            <w:r>
              <w:rPr>
                <w:webHidden/>
              </w:rPr>
              <w:fldChar w:fldCharType="separate"/>
            </w:r>
            <w:r>
              <w:rPr>
                <w:rStyle w:val="Style13"/>
              </w:rPr>
              <w:t>Генеральные подрядчики</w:t>
              <w:tab/>
              <w:t>30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0" w:tgtFrame="#_Toc230928840">
            <w:r>
              <w:rPr>
                <w:webHidden/>
                <w:rStyle w:val="Style13"/>
                <w:vanish w:val="false"/>
              </w:rPr>
              <w:t>3.4</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_Toc230928840 \h</w:instrText>
            </w:r>
            <w:r>
              <w:rPr>
                <w:webHidden/>
              </w:rPr>
              <w:fldChar w:fldCharType="separate"/>
            </w:r>
            <w:r>
              <w:rPr>
                <w:rStyle w:val="Style13"/>
              </w:rPr>
              <w:t>Привлечение субподрядчиков (соисполнителей) из числа субъектов МСП</w:t>
              <w:tab/>
              <w:t>32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41" w:tgtFrame="#_Toc230928841">
            <w:r>
              <w:rPr>
                <w:webHidden/>
                <w:rStyle w:val="Style13"/>
                <w:vanish w:val="false"/>
              </w:rPr>
              <w:t>4.</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_Toc230928841 \h</w:instrText>
            </w:r>
            <w:r>
              <w:rPr>
                <w:webHidden/>
              </w:rPr>
              <w:fldChar w:fldCharType="separate"/>
            </w:r>
            <w:r>
              <w:rPr>
                <w:rStyle w:val="Style13"/>
              </w:rPr>
              <w:t>Порядок проведения закупки</w:t>
              <w:tab/>
              <w:t>33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2" w:tgtFrame="#_Toc230928842">
            <w:r>
              <w:rPr>
                <w:webHidden/>
                <w:rStyle w:val="Style13"/>
                <w:vanish w:val="false"/>
              </w:rPr>
              <w:t>4.1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_Toc230928842 \h</w:instrText>
            </w:r>
            <w:r>
              <w:rPr>
                <w:webHidden/>
              </w:rPr>
              <w:fldChar w:fldCharType="separate"/>
            </w:r>
            <w:r>
              <w:rPr>
                <w:rStyle w:val="Style13"/>
              </w:rPr>
              <w:t>Общий порядок проведения закупки</w:t>
              <w:tab/>
              <w:t>33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3" w:tgtFrame="#_Toc230928843">
            <w:r>
              <w:rPr>
                <w:webHidden/>
                <w:rStyle w:val="Style13"/>
                <w:vanish w:val="false"/>
              </w:rPr>
              <w:t>4.2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_Toc230928843 \h</w:instrText>
            </w:r>
            <w:r>
              <w:rPr>
                <w:webHidden/>
              </w:rPr>
              <w:fldChar w:fldCharType="separate"/>
            </w:r>
            <w:r>
              <w:rPr>
                <w:rStyle w:val="Style13"/>
              </w:rPr>
              <w:t>Официальное размещение Извещения и Документации о закупке</w:t>
              <w:tab/>
              <w:t>35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4" w:tgtFrame="#_Toc230928844">
            <w:r>
              <w:rPr>
                <w:webHidden/>
                <w:rStyle w:val="Style13"/>
                <w:vanish w:val="false"/>
              </w:rPr>
              <w:t>4.3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_Toc230928844 \h</w:instrText>
            </w:r>
            <w:r>
              <w:rPr>
                <w:webHidden/>
              </w:rPr>
              <w:fldChar w:fldCharType="separate"/>
            </w:r>
            <w:r>
              <w:rPr>
                <w:rStyle w:val="Style13"/>
              </w:rPr>
              <w:t>Подготовка заявки</w:t>
              <w:tab/>
              <w:t>35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5" w:tgtFrame="#_Toc230928845">
            <w:r>
              <w:rPr>
                <w:webHidden/>
                <w:rStyle w:val="Style13"/>
                <w:vanish w:val="false"/>
              </w:rPr>
              <w:t>4.4</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_Toc230928845 \h</w:instrText>
            </w:r>
            <w:r>
              <w:rPr>
                <w:webHidden/>
              </w:rPr>
              <w:fldChar w:fldCharType="separate"/>
            </w:r>
            <w:r>
              <w:rPr>
                <w:rStyle w:val="Style13"/>
              </w:rPr>
              <w:t>Разъяснение Документации о закупке</w:t>
              <w:tab/>
              <w:t>38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6" w:tgtFrame="#_Toc230928846">
            <w:r>
              <w:rPr>
                <w:webHidden/>
                <w:rStyle w:val="Style13"/>
                <w:vanish w:val="false"/>
              </w:rPr>
              <w:t>4.5</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_Toc230928846 \h</w:instrText>
            </w:r>
            <w:r>
              <w:rPr>
                <w:webHidden/>
              </w:rPr>
              <w:fldChar w:fldCharType="separate"/>
            </w:r>
            <w:r>
              <w:rPr>
                <w:rStyle w:val="Style13"/>
              </w:rPr>
              <w:t>Изменения Извещения и (или) Документации о закупке</w:t>
              <w:tab/>
              <w:t>39</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7" w:tgtFrame="#_Toc230928847">
            <w:r>
              <w:rPr>
                <w:webHidden/>
                <w:rStyle w:val="Style13"/>
                <w:vanish w:val="false"/>
              </w:rPr>
              <w:t>4.6</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_Toc230928847 \h</w:instrText>
            </w:r>
            <w:r>
              <w:rPr>
                <w:webHidden/>
              </w:rPr>
              <w:fldChar w:fldCharType="separate"/>
            </w:r>
            <w:r>
              <w:rPr>
                <w:rStyle w:val="Style13"/>
              </w:rPr>
              <w:t>Подача заявок и их прием</w:t>
              <w:tab/>
              <w:t>39</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8" w:tgtFrame="#_Toc230928848">
            <w:r>
              <w:rPr>
                <w:webHidden/>
                <w:rStyle w:val="Style13"/>
                <w:vanish w:val="false"/>
              </w:rPr>
              <w:t>4.7</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_Toc230928848 \h</w:instrText>
            </w:r>
            <w:r>
              <w:rPr>
                <w:webHidden/>
              </w:rPr>
              <w:fldChar w:fldCharType="separate"/>
            </w:r>
            <w:r>
              <w:rPr>
                <w:rStyle w:val="Style13"/>
              </w:rPr>
              <w:t>Изменение и отзыв заявок</w:t>
              <w:tab/>
              <w:t>40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49" w:tgtFrame="#_Toc230928849">
            <w:r>
              <w:rPr>
                <w:webHidden/>
                <w:rStyle w:val="Style13"/>
                <w:vanish w:val="false"/>
              </w:rPr>
              <w:t>4.8</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_Toc230928849 \h</w:instrText>
            </w:r>
            <w:r>
              <w:rPr>
                <w:webHidden/>
              </w:rPr>
              <w:fldChar w:fldCharType="separate"/>
            </w:r>
            <w:r>
              <w:rPr>
                <w:rStyle w:val="Style13"/>
              </w:rPr>
              <w:t>Открытие доступа к заявкам</w:t>
              <w:tab/>
              <w:t>40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0" w:tgtFrame="#_Toc230928850">
            <w:r>
              <w:rPr>
                <w:webHidden/>
                <w:rStyle w:val="Style13"/>
                <w:vanish w:val="false"/>
              </w:rPr>
              <w:t>4.9</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_Toc230928850 \h</w:instrText>
            </w:r>
            <w:r>
              <w:rPr>
                <w:webHidden/>
              </w:rPr>
              <w:fldChar w:fldCharType="separate"/>
            </w:r>
            <w:r>
              <w:rPr>
                <w:rStyle w:val="Style13"/>
              </w:rPr>
              <w:t>Рассмотрение заявок (отборочная стадия), в том числе (при необходимости) проведение аккредитации</w:t>
              <w:tab/>
              <w:t>41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1" w:tgtFrame="#_Toc230928851">
            <w:r>
              <w:rPr>
                <w:webHidden/>
                <w:rStyle w:val="Style13"/>
                <w:vanish w:val="false"/>
              </w:rPr>
              <w:t>4.10</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_Toc230928851 \h</w:instrText>
            </w:r>
            <w:r>
              <w:rPr>
                <w:webHidden/>
              </w:rPr>
              <w:fldChar w:fldCharType="separate"/>
            </w:r>
            <w:r>
              <w:rPr>
                <w:rStyle w:val="Style13"/>
              </w:rPr>
              <w:t>Дополнительные запросы разъяснений заявок</w:t>
              <w:tab/>
              <w:t>43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2" w:tgtFrame="#_Toc230928852">
            <w:r>
              <w:rPr>
                <w:webHidden/>
                <w:rStyle w:val="Style13"/>
                <w:vanish w:val="false"/>
              </w:rPr>
              <w:t>4.11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_Toc230928852 \h</w:instrText>
            </w:r>
            <w:r>
              <w:rPr>
                <w:webHidden/>
              </w:rPr>
              <w:fldChar w:fldCharType="separate"/>
            </w:r>
            <w:r>
              <w:rPr>
                <w:rStyle w:val="Style13"/>
              </w:rPr>
              <w:t>Переторжка</w:t>
              <w:tab/>
              <w:t>45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3" w:tgtFrame="#_Toc230928853">
            <w:r>
              <w:rPr>
                <w:webHidden/>
                <w:rStyle w:val="Style13"/>
                <w:vanish w:val="false"/>
              </w:rPr>
              <w:t>4.12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_Toc230928853 \h</w:instrText>
            </w:r>
            <w:r>
              <w:rPr>
                <w:webHidden/>
              </w:rPr>
              <w:fldChar w:fldCharType="separate"/>
            </w:r>
            <w:r>
              <w:rPr>
                <w:rStyle w:val="Style13"/>
              </w:rPr>
              <w:t>Оценка и сопоставление заявок</w:t>
              <w:tab/>
              <w:t>47</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4" w:tgtFrame="#_Toc230928854">
            <w:r>
              <w:rPr>
                <w:webHidden/>
                <w:rStyle w:val="Style13"/>
                <w:vanish w:val="false"/>
              </w:rPr>
              <w:t>4.13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_Toc230928854 \h</w:instrText>
            </w:r>
            <w:r>
              <w:rPr>
                <w:webHidden/>
              </w:rPr>
              <w:fldChar w:fldCharType="separate"/>
            </w:r>
            <w:r>
              <w:rPr>
                <w:rStyle w:val="Style13"/>
              </w:rPr>
              <w:t>Применение законодательства о национальном режиме</w:t>
              <w:tab/>
              <w:t>48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5" w:tgtFrame="#_Toc230928855">
            <w:r>
              <w:rPr>
                <w:webHidden/>
                <w:rStyle w:val="Style13"/>
                <w:vanish w:val="false"/>
              </w:rPr>
              <w:t>4.14</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_Toc230928855 \h</w:instrText>
            </w:r>
            <w:r>
              <w:rPr>
                <w:webHidden/>
              </w:rPr>
              <w:fldChar w:fldCharType="separate"/>
            </w:r>
            <w:r>
              <w:rPr>
                <w:rStyle w:val="Style13"/>
              </w:rPr>
              <w:t>Подведение итогов закупки (определение Победителя)</w:t>
              <w:tab/>
              <w:t>50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6" w:tgtFrame="#_Toc230928856">
            <w:r>
              <w:rPr>
                <w:webHidden/>
                <w:rStyle w:val="Style13"/>
                <w:vanish w:val="false"/>
              </w:rPr>
              <w:t>4.15</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_Toc230928856 \h</w:instrText>
            </w:r>
            <w:r>
              <w:rPr>
                <w:webHidden/>
              </w:rPr>
              <w:fldChar w:fldCharType="separate"/>
            </w:r>
            <w:r>
              <w:rPr>
                <w:rStyle w:val="Style13"/>
              </w:rPr>
              <w:t>Признание закупки несостоявшейся</w:t>
              <w:tab/>
              <w:t>51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7" w:tgtFrame="#_Toc230928857">
            <w:r>
              <w:rPr>
                <w:webHidden/>
                <w:rStyle w:val="Style13"/>
                <w:vanish w:val="false"/>
              </w:rPr>
              <w:t>4.16</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_Toc230928857 \h</w:instrText>
            </w:r>
            <w:r>
              <w:rPr>
                <w:webHidden/>
              </w:rPr>
              <w:fldChar w:fldCharType="separate"/>
            </w:r>
            <w:r>
              <w:rPr>
                <w:rStyle w:val="Style13"/>
              </w:rPr>
              <w:t>Отказ от проведения закупки (отмена закупки)</w:t>
              <w:tab/>
              <w:t>53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8" w:tgtFrame="#_Toc230928858">
            <w:r>
              <w:rPr>
                <w:webHidden/>
                <w:rStyle w:val="Style13"/>
                <w:vanish w:val="false"/>
              </w:rPr>
              <w:t>4.17</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_Toc230928858 \h</w:instrText>
            </w:r>
            <w:r>
              <w:rPr>
                <w:webHidden/>
              </w:rPr>
              <w:fldChar w:fldCharType="separate"/>
            </w:r>
            <w:r>
              <w:rPr>
                <w:rStyle w:val="Style13"/>
              </w:rPr>
              <w:t>Особенности проведения закупки с необходимостью обеспечения заявки</w:t>
              <w:tab/>
              <w:t>53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59" w:tgtFrame="#_Toc230928859">
            <w:r>
              <w:rPr>
                <w:webHidden/>
                <w:rStyle w:val="Style13"/>
                <w:vanish w:val="false"/>
              </w:rPr>
              <w:t>4.18</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_Toc230928859 \h</w:instrText>
            </w:r>
            <w:r>
              <w:rPr>
                <w:webHidden/>
              </w:rPr>
              <w:fldChar w:fldCharType="separate"/>
            </w:r>
            <w:r>
              <w:rPr>
                <w:rStyle w:val="Style13"/>
              </w:rPr>
              <w:t>Особенности проведения многолотовой закупки</w:t>
              <w:tab/>
              <w:t>56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0" w:tgtFrame="#_Toc230928860">
            <w:r>
              <w:rPr>
                <w:webHidden/>
                <w:rStyle w:val="Style13"/>
                <w:vanish w:val="false"/>
              </w:rPr>
              <w:t>4.19</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_Toc230928860 \h</w:instrText>
            </w:r>
            <w:r>
              <w:rPr>
                <w:webHidden/>
              </w:rPr>
              <w:fldChar w:fldCharType="separate"/>
            </w:r>
            <w:r>
              <w:rPr>
                <w:rStyle w:val="Style13"/>
              </w:rPr>
              <w:t>Особенности проведения закупки с возможностью подачи альтернативных предложений</w:t>
              <w:tab/>
              <w:t>57</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61" w:tgtFrame="#_Toc230928861">
            <w:r>
              <w:rPr>
                <w:webHidden/>
                <w:rStyle w:val="Style13"/>
                <w:vanish w:val="false"/>
              </w:rPr>
              <w:t>5.</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_Toc230928861 \h</w:instrText>
            </w:r>
            <w:r>
              <w:rPr>
                <w:webHidden/>
              </w:rPr>
              <w:fldChar w:fldCharType="separate"/>
            </w:r>
            <w:r>
              <w:rPr>
                <w:rStyle w:val="Style13"/>
              </w:rPr>
              <w:t>Порядок заключения Договора</w:t>
              <w:tab/>
              <w:t>58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2" w:tgtFrame="#_Toc230928862">
            <w:r>
              <w:rPr>
                <w:webHidden/>
                <w:rStyle w:val="Style13"/>
                <w:vanish w:val="false"/>
              </w:rPr>
              <w:t>5.1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_Toc230928862 \h</w:instrText>
            </w:r>
            <w:r>
              <w:rPr>
                <w:webHidden/>
              </w:rPr>
              <w:fldChar w:fldCharType="separate"/>
            </w:r>
            <w:r>
              <w:rPr>
                <w:rStyle w:val="Style13"/>
              </w:rPr>
              <w:t>Общие положения</w:t>
              <w:tab/>
              <w:t>58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3" w:tgtFrame="#_Toc230928863">
            <w:r>
              <w:rPr>
                <w:webHidden/>
                <w:rStyle w:val="Style13"/>
                <w:vanish w:val="false"/>
              </w:rPr>
              <w:t>5.2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_Toc230928863 \h</w:instrText>
            </w:r>
            <w:r>
              <w:rPr>
                <w:webHidden/>
              </w:rPr>
              <w:fldChar w:fldCharType="separate"/>
            </w:r>
            <w:r>
              <w:rPr>
                <w:rStyle w:val="Style13"/>
              </w:rPr>
              <w:t>Заключение Договора</w:t>
              <w:tab/>
              <w:t>58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4" w:tgtFrame="#_Toc230928864">
            <w:r>
              <w:rPr>
                <w:webHidden/>
                <w:rStyle w:val="Style13"/>
                <w:vanish w:val="false"/>
              </w:rPr>
              <w:t>5.3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_Toc230928864 \h</w:instrText>
            </w:r>
            <w:r>
              <w:rPr>
                <w:webHidden/>
              </w:rPr>
              <w:fldChar w:fldCharType="separate"/>
            </w:r>
            <w:r>
              <w:rPr>
                <w:rStyle w:val="Style13"/>
              </w:rPr>
              <w:t>Преддоговорные переговоры</w:t>
              <w:tab/>
              <w:t>61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5" w:tgtFrame="#_Toc230928865">
            <w:r>
              <w:rPr>
                <w:webHidden/>
                <w:rStyle w:val="Style13"/>
                <w:vanish w:val="false"/>
              </w:rPr>
              <w:t>5.4</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_Toc230928865 \h</w:instrText>
            </w:r>
            <w:r>
              <w:rPr>
                <w:webHidden/>
              </w:rPr>
              <w:fldChar w:fldCharType="separate"/>
            </w:r>
            <w:r>
              <w:rPr>
                <w:rStyle w:val="Style13"/>
              </w:rPr>
              <w:t>Уклонение Победителя от заключения Договора</w:t>
              <w:tab/>
              <w:t>62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66" w:tgtFrame="#_Toc230928866">
            <w:r>
              <w:rPr>
                <w:webHidden/>
                <w:rStyle w:val="Style13"/>
                <w:vanish w:val="false"/>
              </w:rPr>
              <w:t>6.</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_Toc230928866 \h</w:instrText>
            </w:r>
            <w:r>
              <w:rPr>
                <w:webHidden/>
              </w:rPr>
              <w:fldChar w:fldCharType="separate"/>
            </w:r>
            <w:r>
              <w:rPr>
                <w:rStyle w:val="Style13"/>
              </w:rPr>
              <w:t>Приложение № 1 – Технические требования</w:t>
              <w:tab/>
              <w:t>63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7" w:tgtFrame="#_Toc230928867">
            <w:r>
              <w:rPr>
                <w:webHidden/>
                <w:rStyle w:val="Style13"/>
                <w:vanish w:val="false"/>
              </w:rPr>
              <w:t>6.1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_Toc230928867 \h</w:instrText>
            </w:r>
            <w:r>
              <w:rPr>
                <w:webHidden/>
              </w:rPr>
              <w:fldChar w:fldCharType="separate"/>
            </w:r>
            <w:r>
              <w:rPr>
                <w:rStyle w:val="Style13"/>
              </w:rPr>
              <w:t>Пояснения к Техническим требованиям</w:t>
              <w:tab/>
              <w:t>63</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68" w:tgtFrame="#_Toc230928868">
            <w:r>
              <w:rPr>
                <w:webHidden/>
                <w:rStyle w:val="Style13"/>
                <w:vanish w:val="false"/>
              </w:rPr>
              <w:t>7.</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_Toc230928868 \h</w:instrText>
            </w:r>
            <w:r>
              <w:rPr>
                <w:webHidden/>
              </w:rPr>
              <w:fldChar w:fldCharType="separate"/>
            </w:r>
            <w:r>
              <w:rPr>
                <w:rStyle w:val="Style13"/>
              </w:rPr>
              <w:t>Приложение № 2 – Проект договора</w:t>
              <w:tab/>
              <w:t>64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69" w:tgtFrame="#_Toc230928869">
            <w:r>
              <w:rPr>
                <w:webHidden/>
                <w:rStyle w:val="Style13"/>
                <w:vanish w:val="false"/>
              </w:rPr>
              <w:t>7.1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_Toc230928869 \h</w:instrText>
            </w:r>
            <w:r>
              <w:rPr>
                <w:webHidden/>
              </w:rPr>
              <w:fldChar w:fldCharType="separate"/>
            </w:r>
            <w:r>
              <w:rPr>
                <w:rStyle w:val="Style13"/>
              </w:rPr>
              <w:t>Пояснения к Проекту договора</w:t>
              <w:tab/>
              <w:t>64</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70" w:tgtFrame="#_Toc230928870">
            <w:r>
              <w:rPr>
                <w:webHidden/>
                <w:rStyle w:val="Style13"/>
                <w:vanish w:val="false"/>
              </w:rPr>
              <w:t>8.</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_Toc230928870 \h</w:instrText>
            </w:r>
            <w:r>
              <w:rPr>
                <w:webHidden/>
              </w:rPr>
              <w:fldChar w:fldCharType="separate"/>
            </w:r>
            <w:r>
              <w:rPr>
                <w:rStyle w:val="Style13"/>
              </w:rPr>
              <w:t>Приложение № 3 – Требования к Участникам</w:t>
              <w:tab/>
              <w:t>65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1" w:tgtFrame="#_Toc230928871">
            <w:r>
              <w:rPr>
                <w:webHidden/>
                <w:rStyle w:val="Style13"/>
                <w:vanish w:val="false"/>
              </w:rPr>
              <w:t>8.1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_Toc230928871 \h</w:instrText>
            </w:r>
            <w:r>
              <w:rPr>
                <w:webHidden/>
              </w:rPr>
              <w:fldChar w:fldCharType="separate"/>
            </w:r>
            <w:r>
              <w:rPr>
                <w:rStyle w:val="Style13"/>
              </w:rPr>
              <w:t>Пояснения к требованиям к Участникам</w:t>
              <w:tab/>
              <w:t>65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2" w:tgtFrame="#_Toc230928872">
            <w:r>
              <w:rPr>
                <w:webHidden/>
                <w:rStyle w:val="Style13"/>
                <w:vanish w:val="false"/>
              </w:rPr>
              <w:t>8.2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_Toc230928872 \h</w:instrText>
            </w:r>
            <w:r>
              <w:rPr>
                <w:webHidden/>
              </w:rPr>
              <w:fldChar w:fldCharType="separate"/>
            </w:r>
            <w:r>
              <w:rPr>
                <w:rStyle w:val="Style13"/>
              </w:rPr>
              <w:t>Обязательные требования</w:t>
              <w:tab/>
              <w:t>65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3" w:tgtFrame="#_Toc230928873">
            <w:r>
              <w:rPr>
                <w:webHidden/>
                <w:rStyle w:val="Style13"/>
                <w:vanish w:val="false"/>
              </w:rPr>
              <w:t>8.3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_Toc230928873 \h</w:instrText>
            </w:r>
            <w:r>
              <w:rPr>
                <w:webHidden/>
              </w:rPr>
              <w:fldChar w:fldCharType="separate"/>
            </w:r>
            <w:r>
              <w:rPr>
                <w:rStyle w:val="Style13"/>
              </w:rPr>
              <w:t>Специальные требования</w:t>
              <w:tab/>
              <w:t>68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4" w:tgtFrame="#_Toc230928874">
            <w:r>
              <w:rPr>
                <w:webHidden/>
                <w:rStyle w:val="Style13"/>
                <w:vanish w:val="false"/>
              </w:rPr>
              <w:t>8.4</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_Toc230928874 \h</w:instrText>
            </w:r>
            <w:r>
              <w:rPr>
                <w:webHidden/>
              </w:rPr>
              <w:fldChar w:fldCharType="separate"/>
            </w:r>
            <w:r>
              <w:rPr>
                <w:rStyle w:val="Style13"/>
              </w:rPr>
              <w:t>Квалификационные требования</w:t>
              <w:tab/>
              <w:t>69</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5" w:tgtFrame="#_Toc230928875">
            <w:r>
              <w:rPr>
                <w:webHidden/>
                <w:rStyle w:val="Style13"/>
                <w:vanish w:val="false"/>
              </w:rPr>
              <w:t>8.5</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_Toc230928875 \h</w:instrText>
            </w:r>
            <w:r>
              <w:rPr>
                <w:webHidden/>
              </w:rPr>
              <w:fldChar w:fldCharType="separate"/>
            </w:r>
            <w:r>
              <w:rPr>
                <w:rStyle w:val="Style13"/>
              </w:rPr>
              <w:t>Дополнительные требования к Коллективным участникам</w:t>
              <w:tab/>
              <w:t>70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6" w:tgtFrame="#_Toc230928876">
            <w:r>
              <w:rPr>
                <w:webHidden/>
                <w:rStyle w:val="Style13"/>
                <w:vanish w:val="false"/>
              </w:rPr>
              <w:t>8.6</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_Toc230928876 \h</w:instrText>
            </w:r>
            <w:r>
              <w:rPr>
                <w:webHidden/>
              </w:rPr>
              <w:fldChar w:fldCharType="separate"/>
            </w:r>
            <w:r>
              <w:rPr>
                <w:rStyle w:val="Style13"/>
              </w:rPr>
              <w:t>Дополнительные требования к Генеральным подрядчикам</w:t>
              <w:tab/>
              <w:t>71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7" w:tgtFrame="#_Toc230928877">
            <w:r>
              <w:rPr>
                <w:webHidden/>
                <w:rStyle w:val="Style13"/>
                <w:vanish w:val="false"/>
              </w:rPr>
              <w:t>8.7</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_Toc230928877 \h</w:instrText>
            </w:r>
            <w:r>
              <w:rPr>
                <w:webHidden/>
              </w:rPr>
              <w:fldChar w:fldCharType="separate"/>
            </w:r>
            <w:r>
              <w:rPr>
                <w:rStyle w:val="Style13"/>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tab/>
              <w:t>72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78" w:tgtFrame="#_Toc230928878">
            <w:r>
              <w:rPr>
                <w:webHidden/>
                <w:rStyle w:val="Style13"/>
                <w:vanish w:val="false"/>
              </w:rPr>
              <w:t>9.</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_Toc230928878 \h</w:instrText>
            </w:r>
            <w:r>
              <w:rPr>
                <w:webHidden/>
              </w:rPr>
              <w:fldChar w:fldCharType="separate"/>
            </w:r>
            <w:r>
              <w:rPr>
                <w:rStyle w:val="Style13"/>
              </w:rPr>
              <w:t>Приложение № 4 – Образцы форм документов, включаемых в состав заявки</w:t>
              <w:tab/>
              <w:t>74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79" w:tgtFrame="#_Toc230928879">
            <w:r>
              <w:rPr>
                <w:webHidden/>
                <w:rStyle w:val="Style13"/>
                <w:vanish w:val="false"/>
              </w:rPr>
              <w:t>9.1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_Toc230928879 \h</w:instrText>
            </w:r>
            <w:r>
              <w:rPr>
                <w:webHidden/>
              </w:rPr>
              <w:fldChar w:fldCharType="separate"/>
            </w:r>
            <w:r>
              <w:rPr>
                <w:rStyle w:val="Style13"/>
              </w:rPr>
              <w:t>Пояснения к Образцам форм документов, включаемых в состав заявки</w:t>
              <w:tab/>
              <w:t>74</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80" w:tgtFrame="#_Toc230928880">
            <w:r>
              <w:rPr>
                <w:webHidden/>
                <w:rStyle w:val="Style13"/>
                <w:vanish w:val="false"/>
              </w:rPr>
              <w:t>10.</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_Toc230928880 \h</w:instrText>
            </w:r>
            <w:r>
              <w:rPr>
                <w:webHidden/>
              </w:rPr>
              <w:fldChar w:fldCharType="separate"/>
            </w:r>
            <w:r>
              <w:rPr>
                <w:rStyle w:val="Style13"/>
              </w:rPr>
              <w:t>Приложение № 5 – Образцы форм документов, предоставляемых Победителем</w:t>
              <w:tab/>
              <w:t>75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81" w:tgtFrame="#_Toc230928881">
            <w:r>
              <w:rPr>
                <w:webHidden/>
                <w:rStyle w:val="Style13"/>
                <w:vanish w:val="false"/>
              </w:rPr>
              <w:t>10.1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_Toc230928881 \h</w:instrText>
            </w:r>
            <w:r>
              <w:rPr>
                <w:webHidden/>
              </w:rPr>
              <w:fldChar w:fldCharType="separate"/>
            </w:r>
            <w:r>
              <w:rPr>
                <w:rStyle w:val="Style13"/>
              </w:rPr>
              <w:t>Пояснения к Образцам форм документов, предоставляемых Победителем</w:t>
              <w:tab/>
              <w:t>75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82" w:tgtFrame="#_Toc230928882">
            <w:r>
              <w:rPr>
                <w:webHidden/>
                <w:rStyle w:val="Style13"/>
                <w:vanish w:val="false"/>
              </w:rPr>
              <w:t>10.2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_Toc230928882 \h</w:instrText>
            </w:r>
            <w:r>
              <w:rPr>
                <w:webHidden/>
              </w:rPr>
              <w:fldChar w:fldCharType="separate"/>
            </w:r>
            <w:r>
              <w:rPr>
                <w:rStyle w:val="Style13"/>
              </w:rPr>
              <w:t>Форма справки «Сведения о цепочке собственников, включая бенефициаров (в том числе конечных)»</w:t>
              <w:tab/>
              <w:t>75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83" w:tgtFrame="#_Toc230928883">
            <w:r>
              <w:rPr>
                <w:webHidden/>
                <w:rStyle w:val="Style13"/>
                <w:vanish w:val="false"/>
              </w:rPr>
              <w:t>10.3</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_Toc230928883 \h</w:instrText>
            </w:r>
            <w:r>
              <w:rPr>
                <w:webHidden/>
              </w:rPr>
              <w:fldChar w:fldCharType="separate"/>
            </w:r>
            <w:r>
              <w:rPr>
                <w:rStyle w:val="Style13"/>
              </w:rPr>
              <w:t>Форма «Заверение об обстоятельствах»</w:t>
              <w:tab/>
              <w:t>75</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84" w:tgtFrame="#_Toc230928884">
            <w:r>
              <w:rPr>
                <w:webHidden/>
                <w:rStyle w:val="Style13"/>
                <w:vanish w:val="false"/>
              </w:rPr>
              <w:t>11.</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_Toc230928884 \h</w:instrText>
            </w:r>
            <w:r>
              <w:rPr>
                <w:webHidden/>
              </w:rPr>
              <w:fldChar w:fldCharType="separate"/>
            </w:r>
            <w:r>
              <w:rPr>
                <w:rStyle w:val="Style13"/>
              </w:rPr>
              <w:t>Приложение № 6 – Состав заявки</w:t>
              <w:tab/>
              <w:t>77</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85" w:tgtFrame="#_Toc230928885">
            <w:r>
              <w:rPr>
                <w:webHidden/>
                <w:rStyle w:val="Style13"/>
                <w:vanish w:val="false"/>
              </w:rPr>
              <w:t>11.1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_Toc230928885 \h</w:instrText>
            </w:r>
            <w:r>
              <w:rPr>
                <w:webHidden/>
              </w:rPr>
              <w:fldChar w:fldCharType="separate"/>
            </w:r>
            <w:r>
              <w:rPr>
                <w:rStyle w:val="Style13"/>
              </w:rPr>
              <w:t>Состав заявки</w:t>
              <w:tab/>
              <w:t>77</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86" w:tgtFrame="#_Toc230928886">
            <w:r>
              <w:rPr>
                <w:webHidden/>
                <w:rStyle w:val="Style13"/>
                <w:vanish w:val="false"/>
              </w:rPr>
              <w:t>12.</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_Toc230928886 \h</w:instrText>
            </w:r>
            <w:r>
              <w:rPr>
                <w:webHidden/>
              </w:rPr>
              <w:fldChar w:fldCharType="separate"/>
            </w:r>
            <w:r>
              <w:rPr>
                <w:rStyle w:val="Style13"/>
              </w:rPr>
              <w:t>Приложение № 7 – Отборочные критерии рассмотрения заявок</w:t>
              <w:tab/>
              <w:t>80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87" w:tgtFrame="#_Toc230928887">
            <w:r>
              <w:rPr>
                <w:webHidden/>
                <w:rStyle w:val="Style13"/>
                <w:vanish w:val="false"/>
              </w:rPr>
              <w:t>12.1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_Toc230928887 \h</w:instrText>
            </w:r>
            <w:r>
              <w:rPr>
                <w:webHidden/>
              </w:rPr>
              <w:fldChar w:fldCharType="separate"/>
            </w:r>
            <w:r>
              <w:rPr>
                <w:rStyle w:val="Style13"/>
              </w:rPr>
              <w:t>Отборочные критерии рассмотрения заявок</w:t>
              <w:tab/>
              <w:t>80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88" w:tgtFrame="#_Toc230928888">
            <w:r>
              <w:rPr>
                <w:webHidden/>
                <w:rStyle w:val="Style13"/>
                <w:vanish w:val="false"/>
              </w:rPr>
              <w:t>12.2</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_Toc230928888 \h</w:instrText>
            </w:r>
            <w:r>
              <w:rPr>
                <w:webHidden/>
              </w:rPr>
              <w:fldChar w:fldCharType="separate"/>
            </w:r>
            <w:r>
              <w:rPr>
                <w:rStyle w:val="Style13"/>
              </w:rPr>
              <w:t>Дополнительные критерии проверки заявок на соответствие условиям Документации о закупке</w:t>
              <w:tab/>
              <w:t>85</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89" w:tgtFrame="#_Toc230928889">
            <w:r>
              <w:rPr>
                <w:webHidden/>
                <w:rStyle w:val="Style13"/>
                <w:vanish w:val="false"/>
              </w:rPr>
              <w:t>13.</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_Toc230928889 \h</w:instrText>
            </w:r>
            <w:r>
              <w:rPr>
                <w:webHidden/>
              </w:rPr>
              <w:fldChar w:fldCharType="separate"/>
            </w:r>
            <w:r>
              <w:rPr>
                <w:rStyle w:val="Style13"/>
              </w:rPr>
              <w:t>Приложение № 8 – Порядок и критерии оценки и сопоставления заявок</w:t>
              <w:tab/>
              <w:t>88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90" w:tgtFrame="#_Toc230928890">
            <w:r>
              <w:rPr>
                <w:webHidden/>
                <w:rStyle w:val="Style13"/>
                <w:vanish w:val="false"/>
              </w:rPr>
              <w:t>13.1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_Toc230928890 \h</w:instrText>
            </w:r>
            <w:r>
              <w:rPr>
                <w:webHidden/>
              </w:rPr>
              <w:fldChar w:fldCharType="separate"/>
            </w:r>
            <w:r>
              <w:rPr>
                <w:rStyle w:val="Style13"/>
              </w:rPr>
              <w:t>Порядок и критерии оценки и сопоставления заявок</w:t>
              <w:tab/>
              <w:t>88</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91" w:tgtFrame="#_Toc230928891">
            <w:r>
              <w:rPr>
                <w:webHidden/>
                <w:rStyle w:val="Style13"/>
                <w:vanish w:val="false"/>
              </w:rPr>
              <w:t>14.</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_Toc230928891 \h</w:instrText>
            </w:r>
            <w:r>
              <w:rPr>
                <w:webHidden/>
              </w:rPr>
              <w:fldChar w:fldCharType="separate"/>
            </w:r>
            <w:r>
              <w:rPr>
                <w:rStyle w:val="Style13"/>
              </w:rPr>
              <w:t>Приложение № 9 – Обоснование НМЦ</w:t>
              <w:tab/>
              <w:t>94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92" w:tgtFrame="#_Toc230928892">
            <w:r>
              <w:rPr>
                <w:webHidden/>
                <w:rStyle w:val="Style13"/>
                <w:vanish w:val="false"/>
              </w:rPr>
              <w:t>14.1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_Toc230928892 \h</w:instrText>
            </w:r>
            <w:r>
              <w:rPr>
                <w:webHidden/>
              </w:rPr>
              <w:fldChar w:fldCharType="separate"/>
            </w:r>
            <w:r>
              <w:rPr>
                <w:rStyle w:val="Style13"/>
              </w:rPr>
              <w:t>Пояснения к Обоснованию НМЦ</w:t>
              <w:tab/>
              <w:t>94</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93" w:tgtFrame="#_Toc230928893">
            <w:r>
              <w:rPr>
                <w:webHidden/>
                <w:rStyle w:val="Style13"/>
                <w:vanish w:val="false"/>
              </w:rPr>
              <w:t>15.</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_Toc230928893 \h</w:instrText>
            </w:r>
            <w:r>
              <w:rPr>
                <w:webHidden/>
              </w:rPr>
              <w:fldChar w:fldCharType="separate"/>
            </w:r>
            <w:r>
              <w:rPr>
                <w:rStyle w:val="Style13"/>
              </w:rPr>
              <w:t>Приложение № 10 – Форма Заявки на аккредитацию</w:t>
              <w:tab/>
              <w:t>95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94" w:tgtFrame="#_Toc230928894">
            <w:r>
              <w:rPr>
                <w:webHidden/>
                <w:rStyle w:val="Style13"/>
                <w:vanish w:val="false"/>
              </w:rPr>
              <w:t>15.1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_Toc230928894 \h</w:instrText>
            </w:r>
            <w:r>
              <w:rPr>
                <w:webHidden/>
              </w:rPr>
              <w:fldChar w:fldCharType="separate"/>
            </w:r>
            <w:r>
              <w:rPr>
                <w:rStyle w:val="Style13"/>
              </w:rPr>
              <w:t>Пояснения к форме Заявки на аккредитацию</w:t>
              <w:tab/>
              <w:t>95</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30928895" w:tgtFrame="#_Toc230928895">
            <w:r>
              <w:rPr>
                <w:webHidden/>
                <w:rStyle w:val="Style13"/>
                <w:vanish w:val="false"/>
              </w:rPr>
              <w:t>16.</w:t>
            </w:r>
            <w:r>
              <w:rPr>
                <w:rStyle w:val="Style13"/>
                <w:rFonts w:eastAsia="Arial" w:ascii="Calibri" w:hAnsi="Calibri" w:asciiTheme="minorHAnsi" w:eastAsiaTheme="minorEastAsia" w:hAnsiTheme="minorHAnsi"/>
                <w:b w:val="false"/>
                <w:caps w:val="false"/>
                <w:smallCaps w:val="false"/>
                <w:sz w:val="24"/>
                <w:szCs w:val="24"/>
                <w:lang w:eastAsia="ru-RU"/>
                <w14:ligatures w14:val="standardContextual"/>
              </w:rPr>
              <w:tab/>
            </w:r>
            <w:r>
              <w:rPr>
                <w:webHidden/>
              </w:rPr>
              <w:fldChar w:fldCharType="begin"/>
            </w:r>
            <w:r>
              <w:rPr>
                <w:webHidden/>
              </w:rPr>
              <w:instrText xml:space="preserve">PAGEREF _Toc230928895 \h</w:instrText>
            </w:r>
            <w:r>
              <w:rPr>
                <w:webHidden/>
              </w:rPr>
              <w:fldChar w:fldCharType="separate"/>
            </w:r>
            <w:r>
              <w:rPr>
                <w:rStyle w:val="Style13"/>
              </w:rPr>
              <w:t>Приложение № 11 – форма Данных бухгалтерской (финансовой) отчетности</w:t>
              <w:tab/>
              <w:t>96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30928896" w:tgtFrame="#_Toc230928896">
            <w:r>
              <w:rPr>
                <w:webHidden/>
                <w:rStyle w:val="Style13"/>
                <w:vanish w:val="false"/>
              </w:rPr>
              <w:t>16.1</w:t>
            </w:r>
            <w:r>
              <w:rPr>
                <w:rStyle w:val="Style13"/>
                <w:rFonts w:eastAsia="Arial" w:ascii="Calibri" w:hAnsi="Calibri" w:asciiTheme="minorHAnsi" w:eastAsiaTheme="minorEastAsia" w:hAnsiTheme="minorHAnsi"/>
                <w:sz w:val="24"/>
                <w:szCs w:val="24"/>
                <w:lang w:eastAsia="ru-RU"/>
                <w14:ligatures w14:val="standardContextual"/>
              </w:rPr>
              <w:tab/>
            </w:r>
            <w:r>
              <w:rPr>
                <w:webHidden/>
              </w:rPr>
              <w:fldChar w:fldCharType="begin"/>
            </w:r>
            <w:r>
              <w:rPr>
                <w:webHidden/>
              </w:rPr>
              <w:instrText xml:space="preserve">PAGEREF _Toc230928896 \h</w:instrText>
            </w:r>
            <w:r>
              <w:rPr>
                <w:webHidden/>
              </w:rPr>
              <w:fldChar w:fldCharType="separate"/>
            </w:r>
            <w:r>
              <w:rPr>
                <w:rStyle w:val="Style13"/>
              </w:rPr>
              <w:t>Пояснения к форме Данных бухгалтерской (финансовой) отчетности</w:t>
              <w:tab/>
              <w:t>96</w:t>
            </w:r>
            <w:r>
              <w:rPr>
                <w:webHidden/>
              </w:rPr>
              <w:fldChar w:fldCharType="end"/>
            </w:r>
          </w:hyperlink>
          <w:r>
            <w:rPr>
              <w:rStyle w:val="Style13"/>
            </w:rPr>
            <w:fldChar w:fldCharType="end"/>
          </w:r>
        </w:p>
      </w:sdtContent>
    </w:sdt>
    <w:p>
      <w:pPr>
        <w:pStyle w:val="Style22"/>
        <w:jc w:val="both"/>
        <w:rPr/>
      </w:pPr>
      <w:r>
        <w:rPr/>
      </w:r>
    </w:p>
    <w:p>
      <w:pPr>
        <w:pStyle w:val="Style22"/>
        <w:keepNext w:val="true"/>
        <w:spacing w:before="60" w:after="0"/>
        <w:rPr>
          <w:rStyle w:val="Style9"/>
        </w:rPr>
      </w:pPr>
      <w:r>
        <w:rPr>
          <w:rStyle w:val="Style9"/>
        </w:rPr>
        <w:t xml:space="preserve">[Примечание (дополнительные удобства работы с Документацией о закупке; Microsoft Word | </w:t>
      </w:r>
      <w:r>
        <w:rPr>
          <w:rStyle w:val="Style9"/>
          <w:color w:val="4472C4" w:themeColor="accent1"/>
        </w:rPr>
        <w:t>AlterOffice AText – отмечены отличая для данного текстового редактора</w:t>
      </w:r>
      <w:r>
        <w:rPr>
          <w:rStyle w:val="Style9"/>
        </w:rPr>
        <w:t>):</w:t>
      </w:r>
    </w:p>
    <w:p>
      <w:pPr>
        <w:pStyle w:val="Style22"/>
        <w:numPr>
          <w:ilvl w:val="0"/>
          <w:numId w:val="12"/>
        </w:numPr>
        <w:spacing w:before="60" w:after="0"/>
        <w:ind w:left="284" w:hanging="284"/>
        <w:rPr>
          <w:rStyle w:val="Style9"/>
        </w:rPr>
      </w:pPr>
      <w:r>
        <w:rPr>
          <w:rStyle w:val="Style9"/>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9"/>
          <w:color w:val="4472C4" w:themeColor="accent1"/>
        </w:rPr>
        <w:t>включается на вкладке «Вид» опцией «Навигатор»</w:t>
      </w:r>
      <w:r>
        <w:rPr>
          <w:rStyle w:val="Style9"/>
        </w:rPr>
        <w:t>;</w:t>
      </w:r>
    </w:p>
    <w:p>
      <w:pPr>
        <w:pStyle w:val="Style22"/>
        <w:numPr>
          <w:ilvl w:val="0"/>
          <w:numId w:val="12"/>
        </w:numPr>
        <w:spacing w:before="0" w:after="0"/>
        <w:ind w:left="284" w:hanging="284"/>
        <w:rPr>
          <w:rStyle w:val="Style9"/>
        </w:rPr>
      </w:pPr>
      <w:r>
        <w:rPr>
          <w:rStyle w:val="Style9"/>
        </w:rPr>
        <w:t>переход по перекрестным и другим ссылкам осуществляется левым кликом мыши с</w:t>
      </w:r>
      <w:r>
        <w:rPr>
          <w:rStyle w:val="Style9"/>
          <w:lang w:val="en-US"/>
        </w:rPr>
        <w:t> </w:t>
      </w:r>
      <w:r>
        <w:rPr>
          <w:rStyle w:val="Style9"/>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9"/>
          <w:color w:val="4472C4" w:themeColor="accent1"/>
        </w:rPr>
        <w:t>(обратный переход функционально не реализован в AlterOffice AText, пользуйтесь функциональностью «Навигатор»)</w:t>
      </w:r>
      <w:r>
        <w:rPr>
          <w:rStyle w:val="Style9"/>
        </w:rPr>
        <w:t>;</w:t>
      </w:r>
    </w:p>
    <w:p>
      <w:pPr>
        <w:pStyle w:val="Style22"/>
        <w:numPr>
          <w:ilvl w:val="0"/>
          <w:numId w:val="12"/>
        </w:numPr>
        <w:spacing w:before="0" w:after="0"/>
        <w:ind w:left="284" w:hanging="284"/>
        <w:rPr>
          <w:rStyle w:val="Style9"/>
        </w:rPr>
      </w:pPr>
      <w:r>
        <w:rPr>
          <w:rStyle w:val="Style9"/>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9"/>
          <w:lang w:val="en-US"/>
        </w:rPr>
        <w:t> </w:t>
      </w:r>
      <w:r>
        <w:rPr>
          <w:rStyle w:val="Style9"/>
        </w:rPr>
        <w:t>тексте;</w:t>
      </w:r>
    </w:p>
    <w:p>
      <w:pPr>
        <w:pStyle w:val="Style22"/>
        <w:numPr>
          <w:ilvl w:val="0"/>
          <w:numId w:val="12"/>
        </w:numPr>
        <w:spacing w:before="0" w:after="0"/>
        <w:ind w:left="284" w:hanging="284"/>
        <w:rPr>
          <w:rStyle w:val="Style9"/>
        </w:rPr>
      </w:pPr>
      <w:r>
        <w:rPr>
          <w:rStyle w:val="Style9"/>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9"/>
        </w:rPr>
        <w:t>.]</w:t>
      </w:r>
    </w:p>
    <w:p>
      <w:pPr>
        <w:pStyle w:val="Style21"/>
        <w:numPr>
          <w:ilvl w:val="0"/>
          <w:numId w:val="0"/>
        </w:numPr>
        <w:ind w:left="0" w:hanging="0"/>
        <w:outlineLvl w:val="0"/>
        <w:rPr/>
      </w:pPr>
      <w:bookmarkStart w:id="0" w:name="_Toc230928825"/>
      <w:r>
        <w:rPr/>
        <w:t>Сокращения</w:t>
      </w:r>
      <w:bookmarkEnd w:id="0"/>
    </w:p>
    <w:p>
      <w:pPr>
        <w:pStyle w:val="Style22"/>
        <w:ind w:firstLine="567"/>
        <w:rPr/>
      </w:pPr>
      <w:r>
        <w:rPr>
          <w:b/>
          <w:bCs/>
        </w:rPr>
        <w:t>ГК РФ</w:t>
      </w:r>
      <w:r>
        <w:rPr/>
        <w:t xml:space="preserve"> – Гражданской кодекс Российской Федерации.</w:t>
      </w:r>
    </w:p>
    <w:p>
      <w:pPr>
        <w:pStyle w:val="Style22"/>
        <w:ind w:firstLine="567"/>
        <w:rPr>
          <w:b/>
          <w:bCs/>
        </w:rPr>
      </w:pPr>
      <w:r>
        <w:rPr>
          <w:b/>
          <w:bCs/>
        </w:rPr>
        <w:t>ЕАЭС</w:t>
      </w:r>
      <w:r>
        <w:rPr/>
        <w:t xml:space="preserve"> – Евразийский экономический союз.</w:t>
      </w:r>
    </w:p>
    <w:p>
      <w:pPr>
        <w:pStyle w:val="Style22"/>
        <w:ind w:firstLine="567"/>
        <w:rPr/>
      </w:pPr>
      <w:r>
        <w:rPr>
          <w:b/>
          <w:bCs/>
        </w:rPr>
        <w:t>ЕГРИП</w:t>
      </w:r>
      <w:r>
        <w:rPr/>
        <w:t xml:space="preserve"> – Единый государственный реестр индивидуальных предпринимателей.</w:t>
      </w:r>
    </w:p>
    <w:p>
      <w:pPr>
        <w:pStyle w:val="Style22"/>
        <w:ind w:firstLine="567"/>
        <w:rPr/>
      </w:pPr>
      <w:r>
        <w:rPr>
          <w:b/>
          <w:bCs/>
        </w:rPr>
        <w:t>ЕГРЮЛ</w:t>
      </w:r>
      <w:r>
        <w:rPr/>
        <w:t xml:space="preserve"> – Единый государственный реестр юридических лиц.</w:t>
      </w:r>
    </w:p>
    <w:p>
      <w:pPr>
        <w:pStyle w:val="Style22"/>
        <w:ind w:firstLine="567"/>
        <w:rPr/>
      </w:pPr>
      <w:r>
        <w:rPr>
          <w:b/>
          <w:bCs/>
        </w:rPr>
        <w:t>ЕИС</w:t>
      </w:r>
      <w:r>
        <w:rPr/>
        <w:t xml:space="preserve"> – Единая информационная система в сфере закупок.</w:t>
      </w:r>
    </w:p>
    <w:p>
      <w:pPr>
        <w:pStyle w:val="Style22"/>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2"/>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2"/>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2"/>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2"/>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2"/>
        <w:ind w:firstLine="567"/>
        <w:rPr/>
      </w:pPr>
      <w:r>
        <w:rPr>
          <w:b/>
          <w:bCs/>
        </w:rPr>
        <w:t>Извещение</w:t>
      </w:r>
      <w:r>
        <w:rPr/>
        <w:t xml:space="preserve"> – извещение о проведении настоящей закупки.</w:t>
      </w:r>
    </w:p>
    <w:p>
      <w:pPr>
        <w:pStyle w:val="Style22"/>
        <w:ind w:firstLine="567"/>
        <w:rPr/>
      </w:pPr>
      <w:r>
        <w:rPr>
          <w:b/>
          <w:bCs/>
        </w:rPr>
        <w:t>ИНН</w:t>
      </w:r>
      <w:r>
        <w:rPr/>
        <w:t xml:space="preserve"> – идентификационный номер налогоплательщика.</w:t>
      </w:r>
    </w:p>
    <w:p>
      <w:pPr>
        <w:pStyle w:val="Style22"/>
        <w:ind w:firstLine="567"/>
        <w:rPr/>
      </w:pPr>
      <w:r>
        <w:rPr>
          <w:b/>
          <w:bCs/>
        </w:rPr>
        <w:t>ИФНС</w:t>
      </w:r>
      <w:r>
        <w:rPr/>
        <w:t xml:space="preserve"> – инспекция Федеральной налоговой службы Российской Федерации.</w:t>
      </w:r>
    </w:p>
    <w:p>
      <w:pPr>
        <w:pStyle w:val="Style22"/>
        <w:ind w:firstLine="567"/>
        <w:rPr/>
      </w:pPr>
      <w:r>
        <w:rPr>
          <w:b/>
          <w:bCs/>
        </w:rPr>
        <w:t>МТР</w:t>
      </w:r>
      <w:r>
        <w:rPr/>
        <w:t xml:space="preserve"> – материально-технические ресурсы.</w:t>
      </w:r>
    </w:p>
    <w:p>
      <w:pPr>
        <w:pStyle w:val="Style22"/>
        <w:ind w:firstLine="567"/>
        <w:rPr/>
      </w:pPr>
      <w:r>
        <w:rPr>
          <w:b/>
          <w:bCs/>
        </w:rPr>
        <w:t>НДС</w:t>
      </w:r>
      <w:r>
        <w:rPr/>
        <w:t xml:space="preserve"> – налог на добавленную стоимость.</w:t>
      </w:r>
    </w:p>
    <w:p>
      <w:pPr>
        <w:pStyle w:val="Style22"/>
        <w:ind w:firstLine="567"/>
        <w:rPr/>
      </w:pPr>
      <w:r>
        <w:rPr>
          <w:b/>
          <w:bCs/>
        </w:rPr>
        <w:t>НМЦ</w:t>
      </w:r>
      <w:r>
        <w:rPr/>
        <w:t xml:space="preserve"> – начальная (максимальная) цена договора.</w:t>
      </w:r>
    </w:p>
    <w:p>
      <w:pPr>
        <w:pStyle w:val="Style22"/>
        <w:ind w:firstLine="567"/>
        <w:rPr/>
      </w:pPr>
      <w:r>
        <w:rPr>
          <w:b/>
          <w:bCs/>
        </w:rPr>
        <w:t>Оператор ЭП</w:t>
      </w:r>
      <w:r>
        <w:rPr/>
        <w:t xml:space="preserve"> – оператор электронной площадки.</w:t>
      </w:r>
    </w:p>
    <w:p>
      <w:pPr>
        <w:pStyle w:val="Style22"/>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2"/>
        <w:ind w:firstLine="567"/>
        <w:rPr/>
      </w:pPr>
      <w:r>
        <w:rPr>
          <w:b/>
          <w:bCs/>
        </w:rPr>
        <w:t>Положение о закупке</w:t>
      </w:r>
      <w:r>
        <w:rPr/>
        <w:t xml:space="preserve"> – Единое Положение о закупке продукции для нужд Группы РусГидро.</w:t>
      </w:r>
    </w:p>
    <w:p>
      <w:pPr>
        <w:pStyle w:val="Style22"/>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2"/>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22"/>
        <w:ind w:firstLine="567"/>
        <w:rPr>
          <w:b/>
          <w:bCs/>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22"/>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2"/>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2"/>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2"/>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22"/>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2"/>
        <w:ind w:firstLine="567"/>
        <w:rPr/>
      </w:pPr>
      <w:r>
        <w:rPr>
          <w:b/>
          <w:bCs/>
        </w:rPr>
        <w:t>Субъект МСП</w:t>
      </w:r>
      <w:r>
        <w:rPr/>
        <w:t xml:space="preserve"> – субъект малого и среднего предпринимательства.</w:t>
      </w:r>
    </w:p>
    <w:p>
      <w:pPr>
        <w:pStyle w:val="Style22"/>
        <w:ind w:firstLine="567"/>
        <w:rPr/>
      </w:pPr>
      <w:r>
        <w:rPr>
          <w:b/>
          <w:bCs/>
        </w:rPr>
        <w:t>ЭП</w:t>
      </w:r>
      <w:r>
        <w:rPr/>
        <w:t xml:space="preserve"> – электронная площадка.</w:t>
      </w:r>
    </w:p>
    <w:p>
      <w:pPr>
        <w:pStyle w:val="Style21"/>
        <w:numPr>
          <w:ilvl w:val="0"/>
          <w:numId w:val="0"/>
        </w:numPr>
        <w:ind w:left="0" w:hanging="0"/>
        <w:outlineLvl w:val="0"/>
        <w:rPr/>
      </w:pPr>
      <w:bookmarkStart w:id="1" w:name="_Toc230928826"/>
      <w:r>
        <w:rPr/>
        <w:t>Термины и определения</w:t>
      </w:r>
      <w:bookmarkEnd w:id="1"/>
    </w:p>
    <w:p>
      <w:pPr>
        <w:pStyle w:val="Style22"/>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2"/>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2"/>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22"/>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2"/>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2"/>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2"/>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2"/>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2"/>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2"/>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2"/>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2"/>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2"/>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2"/>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2"/>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2"/>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2"/>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2"/>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2"/>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2"/>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2"/>
        <w:ind w:firstLine="567"/>
        <w:rPr/>
      </w:pPr>
      <w:r>
        <w:rPr>
          <w:b/>
          <w:bCs/>
        </w:rPr>
        <w:t>Официальное размещение</w:t>
      </w:r>
      <w:r>
        <w:rPr/>
        <w:t xml:space="preserve"> – размещение информации о закупке в ЕИС, на</w:t>
      </w:r>
      <w:r>
        <w:rPr>
          <w:lang w:val="en-US"/>
        </w:rPr>
        <w:t> </w:t>
      </w:r>
      <w:r>
        <w:rPr/>
        <w:t>Официальном сайте (с размещением копий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2"/>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22"/>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2"/>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2"/>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22"/>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2"/>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2"/>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2"/>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2"/>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2"/>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22"/>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22"/>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16"/>
        <w:spacing w:before="0" w:after="0"/>
        <w:rPr/>
      </w:pPr>
      <w:bookmarkStart w:id="2" w:name="_Toc230928827"/>
      <w:bookmarkStart w:id="3" w:name="_Ref125359988"/>
      <w:r>
        <w:rPr/>
        <w:t>Основные сведения о закупке</w:t>
      </w:r>
      <w:bookmarkEnd w:id="2"/>
      <w:bookmarkEnd w:id="3"/>
    </w:p>
    <w:p>
      <w:pPr>
        <w:pStyle w:val="Style17"/>
        <w:spacing w:before="360" w:after="0"/>
        <w:rPr/>
      </w:pPr>
      <w:bookmarkStart w:id="4" w:name="_Toc230928828"/>
      <w:r>
        <w:rPr/>
        <w:t>Статус настоящего раздела</w:t>
      </w:r>
      <w:bookmarkEnd w:id="4"/>
    </w:p>
    <w:p>
      <w:pPr>
        <w:pStyle w:val="Style18"/>
        <w:spacing w:before="120" w:after="0"/>
        <w:rPr/>
      </w:pPr>
      <w:r>
        <w:rPr/>
        <w:t>В настоящем разделе содержатся основные сведения о предмете, способе и иных ключевых условиях проводимой закупки.</w:t>
      </w:r>
    </w:p>
    <w:p>
      <w:pPr>
        <w:pStyle w:val="Style18"/>
        <w:spacing w:before="0" w:after="0"/>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tgtFrame="#Прил01_ТехТребования">
        <w:r>
          <w:rPr>
            <w:rStyle w:val="Style6"/>
          </w:rPr>
          <w:t>Технических требованиях (Приложение № 1)</w:t>
        </w:r>
      </w:hyperlink>
      <w:r>
        <w:rPr>
          <w:rStyle w:val="Style6"/>
        </w:rPr>
        <w:t>,</w:t>
      </w:r>
      <w:r>
        <w:rPr/>
        <w:t xml:space="preserve"> в </w:t>
      </w:r>
      <w:hyperlink w:anchor="Прил02_ПроектДоговора" w:tgtFrame="#Прил02_ПроектДоговора">
        <w:r>
          <w:rPr>
            <w:rStyle w:val="Style6"/>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18"/>
        <w:spacing w:before="0" w:after="0"/>
        <w:rPr/>
      </w:pPr>
      <w:bookmarkStart w:id="5"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5"/>
    </w:p>
    <w:p>
      <w:pPr>
        <w:pStyle w:val="Style17"/>
        <w:spacing w:before="360" w:after="120"/>
        <w:rPr/>
      </w:pPr>
      <w:bookmarkStart w:id="6" w:name="_Toc230928829"/>
      <w:bookmarkStart w:id="7" w:name="_Ref127270076"/>
      <w:bookmarkStart w:id="8" w:name="_Ref125359973"/>
      <w:r>
        <w:rPr/>
        <w:t>Информация о проводимой закупке</w:t>
      </w:r>
      <w:bookmarkEnd w:id="6"/>
      <w:bookmarkEnd w:id="7"/>
      <w:bookmarkEnd w:id="8"/>
    </w:p>
    <w:tbl>
      <w:tblPr>
        <w:tblStyle w:val="1518"/>
        <w:tblW w:w="975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843"/>
        <w:gridCol w:w="3267"/>
        <w:gridCol w:w="5644"/>
      </w:tblGrid>
      <w:tr>
        <w:trPr/>
        <w:tc>
          <w:tcPr>
            <w:tcW w:w="843"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3267"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Наименование пункта</w:t>
            </w:r>
          </w:p>
        </w:tc>
        <w:tc>
          <w:tcPr>
            <w:tcW w:w="5644"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Содержание пункта</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9" w:name="_Ref125360980"/>
            <w:bookmarkStart w:id="10" w:name="_Ref125360980"/>
            <w:bookmarkEnd w:id="10"/>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Способ закупки:</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Конкурс в электронной форме.</w:t>
            </w:r>
          </w:p>
        </w:tc>
      </w:tr>
      <w:tr>
        <w:trPr>
          <w:trHeight w:val="1027" w:hRule="atLeast"/>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1" w:name="_Ref125360996"/>
            <w:bookmarkStart w:id="12" w:name="_Ref125360996"/>
            <w:bookmarkEnd w:id="12"/>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Предмет Договора</w:t>
              <w:br/>
              <w:t>(в том числе номер лота):</w:t>
            </w:r>
          </w:p>
        </w:tc>
        <w:tc>
          <w:tcPr>
            <w:tcW w:w="5644" w:type="dxa"/>
            <w:tcBorders/>
          </w:tcPr>
          <w:p>
            <w:pPr>
              <w:pStyle w:val="Normal"/>
              <w:widowControl w:val="false"/>
              <w:spacing w:lineRule="atLeast" w:line="57" w:before="62" w:after="62"/>
              <w:ind w:left="0" w:right="-108" w:hanging="0"/>
              <w:jc w:val="left"/>
              <w:rPr>
                <w:rFonts w:ascii="Times New Roman" w:hAnsi="Times New Roman" w:eastAsia="Times New Roman" w:cs="Times New Roman"/>
                <w:color w:val="000000"/>
                <w:sz w:val="26"/>
                <w:szCs w:val="26"/>
              </w:rPr>
            </w:pPr>
            <w:r>
              <w:rPr>
                <w:rFonts w:eastAsia="Times New Roman" w:cs="Times New Roman"/>
                <w:color w:val="000000"/>
                <w:kern w:val="0"/>
                <w:sz w:val="26"/>
                <w:szCs w:val="26"/>
              </w:rPr>
              <w:t>ОКПД2 27.12.10.110 Поставка вакуумных выключателей 6-10 кВ для нужд АО "ДГК".</w:t>
            </w:r>
          </w:p>
          <w:p>
            <w:pPr>
              <w:pStyle w:val="Normal"/>
              <w:widowControl w:val="false"/>
              <w:spacing w:lineRule="atLeast" w:line="57" w:before="62" w:after="62"/>
              <w:ind w:left="0" w:right="-108" w:hanging="0"/>
              <w:jc w:val="left"/>
              <w:rPr>
                <w:rFonts w:ascii="Times New Roman" w:hAnsi="Times New Roman" w:eastAsia="Times New Roman" w:cs="Times New Roman"/>
                <w:sz w:val="28"/>
                <w:szCs w:val="28"/>
              </w:rPr>
            </w:pPr>
            <w:r>
              <w:rPr>
                <w:rFonts w:eastAsia="Times New Roman" w:cs="Times New Roman"/>
                <w:i w:val="false"/>
                <w:iCs w:val="false"/>
                <w:color w:val="000000"/>
                <w:kern w:val="0"/>
                <w:sz w:val="26"/>
                <w:szCs w:val="26"/>
              </w:rPr>
              <w:t>Лот 12016013-РЕМ ПРОД-2027-ДГК</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3" w:name="_Ref135729276"/>
            <w:bookmarkStart w:id="14" w:name="_Ref135729276"/>
            <w:bookmarkEnd w:id="14"/>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Описание</w:t>
              <w:br/>
              <w:t>предмета закупки:</w:t>
            </w:r>
          </w:p>
        </w:tc>
        <w:tc>
          <w:tcPr>
            <w:tcW w:w="5644" w:type="dxa"/>
            <w:tcBorders/>
          </w:tcPr>
          <w:p>
            <w:pPr>
              <w:pStyle w:val="Style22"/>
              <w:widowControl w:val="false"/>
              <w:spacing w:lineRule="auto" w:line="240" w:before="60" w:after="60"/>
              <w:rPr/>
            </w:pPr>
            <w:r>
              <w:rPr>
                <w:rFonts w:eastAsia="Calibri" w:cs="Arial"/>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(Приложении № 1)</w:t>
              </w:r>
            </w:hyperlink>
            <w:r>
              <w:rPr>
                <w:rFonts w:eastAsia="Calibri" w:cs="Arial"/>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5" w:name="_Ref125367124"/>
            <w:bookmarkStart w:id="16" w:name="_Ref125367124"/>
            <w:bookmarkEnd w:id="16"/>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Многолотовая закупка:</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Нет.</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7" w:name="_Ref125360764"/>
            <w:bookmarkStart w:id="18" w:name="_Ref125360764"/>
            <w:bookmarkEnd w:id="18"/>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Наименование и адрес ЭП, на которой проводится закупка:</w:t>
            </w:r>
          </w:p>
        </w:tc>
        <w:tc>
          <w:tcPr>
            <w:tcW w:w="5644" w:type="dxa"/>
            <w:tcBorders/>
          </w:tcPr>
          <w:p>
            <w:pPr>
              <w:pStyle w:val="Normal"/>
              <w:widowControl w:val="false"/>
              <w:spacing w:lineRule="auto" w:line="240" w:before="60" w:after="120"/>
              <w:ind w:left="38" w:hanging="0"/>
              <w:jc w:val="left"/>
              <w:rPr>
                <w:b/>
                <w:bCs/>
                <w:color w:val="7030A0"/>
                <w:highlight w:val="none"/>
              </w:rPr>
            </w:pPr>
            <w:r>
              <w:rPr>
                <w:rFonts w:eastAsia="Calibri" w:cs="Arial"/>
                <w:kern w:val="0"/>
                <w:sz w:val="26"/>
                <w:szCs w:val="22"/>
                <w:lang w:val="ru-RU" w:eastAsia="en-US" w:bidi="ar-SA"/>
              </w:rPr>
              <w:t xml:space="preserve">Электронная торговая площадка: </w:t>
            </w:r>
            <w:hyperlink r:id="rId3" w:tgtFrame="https://rushydro.roseltorg.ru/">
              <w:r>
                <w:rPr>
                  <w:rStyle w:val="Hyperlink"/>
                  <w:rFonts w:eastAsia="Calibri" w:cs="Arial"/>
                  <w:b/>
                  <w:bCs/>
                  <w:color w:val="7030A0"/>
                  <w:kern w:val="0"/>
                  <w:sz w:val="26"/>
                  <w:szCs w:val="22"/>
                  <w:lang w:val="ru-RU" w:eastAsia="en-US" w:bidi="ar-SA"/>
                </w:rPr>
                <w:t>https://rushydro.roseltorg.ru</w:t>
              </w:r>
            </w:hyperlink>
          </w:p>
          <w:p>
            <w:pPr>
              <w:pStyle w:val="Normal"/>
              <w:widowControl w:val="false"/>
              <w:spacing w:lineRule="auto" w:line="240" w:before="60" w:after="120"/>
              <w:ind w:left="38" w:hanging="0"/>
              <w:jc w:val="left"/>
              <w:rPr>
                <w:i/>
                <w:i/>
                <w:shd w:fill="FFFF99" w:val="clear"/>
              </w:rPr>
            </w:pPr>
            <w:r>
              <w:rPr>
                <w:rFonts w:eastAsia="Calibri" w:cs="Arial"/>
                <w:kern w:val="0"/>
                <w:sz w:val="26"/>
                <w:szCs w:val="22"/>
                <w:lang w:val="ru-RU" w:eastAsia="en-US" w:bidi="ar-SA"/>
              </w:rPr>
              <w:t>Регламент ЭТП, в соответствии с которым проводится закупка, размещен по адресу</w:t>
            </w:r>
            <w:r>
              <w:rPr>
                <w:rFonts w:eastAsia="Calibri" w:cs="Arial"/>
                <w:b/>
                <w:kern w:val="0"/>
                <w:sz w:val="26"/>
                <w:szCs w:val="22"/>
                <w:lang w:val="ru-RU" w:eastAsia="en-US" w:bidi="ar-SA"/>
              </w:rPr>
              <w:t xml:space="preserve">: </w:t>
            </w:r>
            <w:r>
              <w:fldChar w:fldCharType="begin"/>
            </w:r>
            <w:r>
              <w:rPr>
                <w:rStyle w:val="Hyperlink"/>
                <w:sz w:val="26"/>
                <w:kern w:val="0"/>
                <w:szCs w:val="22"/>
                <w:rFonts w:eastAsia="Calibri" w:cs="Arial"/>
                <w:lang w:val="ru-RU" w:eastAsia="en-US" w:bidi="ar-SA"/>
              </w:rPr>
              <w:instrText xml:space="preserve"> HYPERLINK "https://www.roseltorg.ru/personal/rushydro" \l "additional_info"</w:instrText>
            </w:r>
            <w:r>
              <w:rPr>
                <w:rStyle w:val="Hyperlink"/>
                <w:sz w:val="26"/>
                <w:kern w:val="0"/>
                <w:szCs w:val="22"/>
                <w:rFonts w:eastAsia="Calibri" w:cs="Arial"/>
                <w:lang w:val="ru-RU" w:eastAsia="en-US" w:bidi="ar-SA"/>
              </w:rPr>
              <w:fldChar w:fldCharType="separate"/>
            </w:r>
            <w:r>
              <w:rPr>
                <w:rStyle w:val="Hyperlink"/>
                <w:rFonts w:eastAsia="Calibri" w:cs="Arial"/>
                <w:kern w:val="0"/>
                <w:sz w:val="26"/>
                <w:szCs w:val="22"/>
                <w:lang w:val="ru-RU" w:eastAsia="en-US" w:bidi="ar-SA"/>
              </w:rPr>
              <w:t>https://www.roseltorg.ru/personal/rushydro#additional_info</w:t>
            </w:r>
            <w:r>
              <w:rPr>
                <w:rStyle w:val="Hyperlink"/>
                <w:sz w:val="26"/>
                <w:kern w:val="0"/>
                <w:szCs w:val="22"/>
                <w:rFonts w:eastAsia="Calibri" w:cs="Arial"/>
                <w:lang w:val="ru-RU" w:eastAsia="en-US" w:bidi="ar-SA"/>
              </w:rPr>
              <w:fldChar w:fldCharType="end"/>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19" w:name="_Ref125360970"/>
            <w:bookmarkStart w:id="20" w:name="_Ref125360970"/>
            <w:bookmarkEnd w:id="20"/>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Участники:</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Участвовать в закупке могут любые лица, заинтересованные в предмете закупки.</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1" w:name="_Ref125360988"/>
            <w:bookmarkStart w:id="22" w:name="_Ref125360988"/>
            <w:bookmarkEnd w:id="22"/>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Заказчик:</w:t>
            </w:r>
          </w:p>
        </w:tc>
        <w:tc>
          <w:tcPr>
            <w:tcW w:w="5644" w:type="dxa"/>
            <w:tcBorders/>
          </w:tcPr>
          <w:p>
            <w:pPr>
              <w:pStyle w:val="Tableheader"/>
              <w:widowControl w:val="false"/>
              <w:suppressAutoHyphens w:val="true"/>
              <w:spacing w:before="0" w:after="0"/>
              <w:rPr>
                <w:b w:val="false"/>
                <w:i w:val="false"/>
                <w:i w:val="false"/>
                <w:sz w:val="26"/>
                <w:szCs w:val="26"/>
                <w:shd w:fill="auto" w:val="clear"/>
              </w:rPr>
            </w:pPr>
            <w:r>
              <w:rPr>
                <w:rStyle w:val="Style12"/>
                <w:b w:val="false"/>
                <w:i w:val="false"/>
                <w:kern w:val="0"/>
                <w:sz w:val="26"/>
                <w:szCs w:val="26"/>
                <w:shd w:fill="auto" w:val="clear"/>
              </w:rPr>
              <w:t xml:space="preserve">Наименование (полное и сокращенное): </w:t>
            </w:r>
          </w:p>
          <w:p>
            <w:pPr>
              <w:pStyle w:val="Tableheader"/>
              <w:widowControl w:val="false"/>
              <w:suppressAutoHyphens w:val="true"/>
              <w:spacing w:before="0" w:after="0"/>
              <w:rPr>
                <w:b w:val="false"/>
                <w:i w:val="false"/>
                <w:i w:val="false"/>
                <w:sz w:val="26"/>
                <w:szCs w:val="26"/>
                <w:shd w:fill="auto" w:val="clear"/>
              </w:rPr>
            </w:pPr>
            <w:r>
              <w:rPr>
                <w:rStyle w:val="Style12"/>
                <w:b w:val="false"/>
                <w:i w:val="false"/>
                <w:kern w:val="0"/>
                <w:sz w:val="26"/>
                <w:szCs w:val="26"/>
                <w:shd w:fill="auto" w:val="clear"/>
              </w:rPr>
              <w:t>Акционерное общество «Дальневосточная генерирующая компания» (АО «ДГК»)</w:t>
            </w:r>
          </w:p>
          <w:p>
            <w:pPr>
              <w:pStyle w:val="Tableheader"/>
              <w:widowControl w:val="false"/>
              <w:suppressAutoHyphens w:val="true"/>
              <w:spacing w:before="0" w:after="0"/>
              <w:rPr>
                <w:b w:val="false"/>
                <w:i w:val="false"/>
                <w:i w:val="false"/>
                <w:sz w:val="26"/>
                <w:szCs w:val="26"/>
                <w:shd w:fill="auto" w:val="clear"/>
              </w:rPr>
            </w:pPr>
            <w:r>
              <w:rPr>
                <w:rStyle w:val="Style12"/>
                <w:b w:val="false"/>
                <w:i w:val="false"/>
                <w:kern w:val="0"/>
                <w:sz w:val="26"/>
                <w:szCs w:val="26"/>
                <w:shd w:fill="auto" w:val="clear"/>
              </w:rPr>
              <w:t xml:space="preserve">Место нахождения: </w:t>
            </w:r>
          </w:p>
          <w:p>
            <w:pPr>
              <w:pStyle w:val="Tableheader"/>
              <w:widowControl w:val="false"/>
              <w:suppressAutoHyphens w:val="true"/>
              <w:spacing w:before="0" w:after="0"/>
              <w:rPr>
                <w:b w:val="false"/>
                <w:i w:val="false"/>
                <w:i w:val="false"/>
                <w:sz w:val="26"/>
                <w:szCs w:val="26"/>
                <w:shd w:fill="auto" w:val="clear"/>
              </w:rPr>
            </w:pPr>
            <w:r>
              <w:rPr>
                <w:rStyle w:val="Style12"/>
                <w:b w:val="false"/>
                <w:i w:val="false"/>
                <w:kern w:val="0"/>
                <w:sz w:val="26"/>
                <w:szCs w:val="26"/>
                <w:shd w:fill="auto" w:val="clear"/>
              </w:rPr>
              <w:t>680000, г. Хабаровск, ул. Фрунзе, д. 49</w:t>
            </w:r>
          </w:p>
          <w:p>
            <w:pPr>
              <w:pStyle w:val="Tableheader"/>
              <w:widowControl w:val="false"/>
              <w:suppressAutoHyphens w:val="true"/>
              <w:spacing w:before="0" w:after="0"/>
              <w:rPr>
                <w:b w:val="false"/>
                <w:i w:val="false"/>
                <w:i w:val="false"/>
                <w:sz w:val="26"/>
                <w:szCs w:val="26"/>
                <w:shd w:fill="auto" w:val="clear"/>
              </w:rPr>
            </w:pPr>
            <w:r>
              <w:rPr>
                <w:rStyle w:val="Style12"/>
                <w:b w:val="false"/>
                <w:i w:val="false"/>
                <w:kern w:val="0"/>
                <w:sz w:val="26"/>
                <w:szCs w:val="26"/>
                <w:shd w:fill="auto" w:val="clear"/>
              </w:rPr>
              <w:t>Почтовый адрес: 680000, г. Хабаровск, ул. Фрунзе, д. 49</w:t>
            </w:r>
          </w:p>
          <w:p>
            <w:pPr>
              <w:pStyle w:val="Tableheader"/>
              <w:widowControl w:val="false"/>
              <w:suppressAutoHyphens w:val="true"/>
              <w:spacing w:before="0" w:after="0"/>
              <w:rPr>
                <w:b w:val="false"/>
                <w:bCs w:val="false"/>
                <w:i w:val="false"/>
                <w:i w:val="false"/>
                <w:sz w:val="26"/>
                <w:szCs w:val="26"/>
                <w:shd w:fill="auto" w:val="clear"/>
                <w14:ligatures w14:val="none"/>
              </w:rPr>
            </w:pPr>
            <w:r>
              <w:rPr>
                <w:rStyle w:val="Style12"/>
                <w:b w:val="false"/>
                <w:bCs w:val="false"/>
                <w:i w:val="false"/>
                <w:iCs w:val="false"/>
                <w:kern w:val="0"/>
                <w:sz w:val="26"/>
                <w:szCs w:val="26"/>
                <w:shd w:fill="auto" w:val="clear"/>
              </w:rPr>
              <w:t xml:space="preserve">Адрес электронной почты: </w:t>
            </w:r>
            <w:hyperlink r:id="rId4" w:tgtFrame="http://dgk@dgk.ru">
              <w:r>
                <w:rPr>
                  <w:rStyle w:val="Style12"/>
                  <w:b/>
                  <w:bCs/>
                  <w:i w:val="false"/>
                  <w:iCs w:val="false"/>
                  <w:color w:val="7030A0"/>
                  <w:kern w:val="0"/>
                  <w:sz w:val="26"/>
                  <w:szCs w:val="26"/>
                  <w:shd w:fill="auto" w:val="clear"/>
                </w:rPr>
                <w:t>dgk@dgk.ru</w:t>
              </w:r>
            </w:hyperlink>
            <w:r>
              <w:rPr>
                <w:rStyle w:val="Style12"/>
                <w:b/>
                <w:bCs/>
                <w:i w:val="false"/>
                <w:iCs w:val="false"/>
                <w:color w:val="7030A0"/>
                <w:kern w:val="0"/>
                <w:sz w:val="26"/>
                <w:szCs w:val="26"/>
                <w:shd w:fill="auto" w:val="clear"/>
              </w:rPr>
              <w:t xml:space="preserve"> </w:t>
            </w:r>
            <w:r>
              <w:rPr>
                <w:rStyle w:val="Style12"/>
                <w:b/>
                <w:bCs/>
                <w:i w:val="false"/>
                <w:iCs w:val="false"/>
                <w:kern w:val="0"/>
                <w:sz w:val="26"/>
                <w:szCs w:val="26"/>
                <w:shd w:fill="auto" w:val="clear"/>
              </w:rPr>
              <w:t xml:space="preserve"> </w:t>
            </w:r>
          </w:p>
          <w:p>
            <w:pPr>
              <w:pStyle w:val="Tableheader"/>
              <w:widowControl w:val="false"/>
              <w:suppressAutoHyphens w:val="true"/>
              <w:spacing w:before="0" w:after="0"/>
              <w:rPr>
                <w:b w:val="false"/>
                <w:i w:val="false"/>
                <w:i w:val="false"/>
                <w:sz w:val="26"/>
                <w:szCs w:val="26"/>
                <w:shd w:fill="auto" w:val="clear"/>
              </w:rPr>
            </w:pPr>
            <w:r>
              <w:rPr>
                <w:rStyle w:val="Style12"/>
                <w:b w:val="false"/>
                <w:bCs w:val="false"/>
                <w:i w:val="false"/>
                <w:iCs w:val="false"/>
                <w:kern w:val="0"/>
                <w:sz w:val="26"/>
                <w:szCs w:val="26"/>
                <w:shd w:fill="auto" w:val="clear"/>
              </w:rPr>
              <w:t>Контактный телефон: +7 (</w:t>
            </w:r>
            <w:r>
              <w:rPr>
                <w:rStyle w:val="Style12"/>
                <w:b w:val="false"/>
                <w:i w:val="false"/>
                <w:kern w:val="0"/>
                <w:sz w:val="26"/>
                <w:szCs w:val="26"/>
                <w:shd w:fill="auto" w:val="clear"/>
              </w:rPr>
              <w:t>4212) 26-42-43</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3" w:name="_Ref125360954"/>
            <w:bookmarkStart w:id="24" w:name="_Ref125360954"/>
            <w:bookmarkEnd w:id="24"/>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Организатор:</w:t>
            </w:r>
          </w:p>
        </w:tc>
        <w:tc>
          <w:tcPr>
            <w:tcW w:w="5644" w:type="dxa"/>
            <w:tcBorders/>
          </w:tcPr>
          <w:p>
            <w:pPr>
              <w:pStyle w:val="Tableheader"/>
              <w:widowControl w:val="false"/>
              <w:suppressAutoHyphens w:val="true"/>
              <w:spacing w:before="0" w:after="0"/>
              <w:rPr>
                <w:b w:val="false"/>
                <w:sz w:val="26"/>
                <w:szCs w:val="26"/>
              </w:rPr>
            </w:pPr>
            <w:r>
              <w:rPr>
                <w:b w:val="false"/>
                <w:kern w:val="0"/>
                <w:sz w:val="26"/>
                <w:szCs w:val="26"/>
              </w:rPr>
              <w:t xml:space="preserve">Наименование (полное и сокращенное): </w:t>
            </w:r>
          </w:p>
          <w:p>
            <w:pPr>
              <w:pStyle w:val="Tableheader"/>
              <w:widowControl w:val="false"/>
              <w:suppressAutoHyphens w:val="true"/>
              <w:spacing w:before="0" w:after="0"/>
              <w:rPr>
                <w:b w:val="false"/>
                <w:sz w:val="26"/>
                <w:szCs w:val="26"/>
              </w:rPr>
            </w:pPr>
            <w:r>
              <w:rPr>
                <w:b w:val="false"/>
                <w:kern w:val="0"/>
                <w:sz w:val="26"/>
                <w:szCs w:val="26"/>
              </w:rPr>
              <w:t>Акционерное общество «Дальневосточная генерирующая компания» (АО «ДГК»)</w:t>
            </w:r>
          </w:p>
          <w:p>
            <w:pPr>
              <w:pStyle w:val="Tableheader"/>
              <w:widowControl w:val="false"/>
              <w:suppressAutoHyphens w:val="true"/>
              <w:spacing w:before="0" w:after="0"/>
              <w:rPr>
                <w:b w:val="false"/>
                <w:sz w:val="26"/>
                <w:szCs w:val="26"/>
              </w:rPr>
            </w:pPr>
            <w:r>
              <w:rPr>
                <w:b w:val="false"/>
                <w:kern w:val="0"/>
                <w:sz w:val="26"/>
                <w:szCs w:val="26"/>
              </w:rPr>
              <w:t xml:space="preserve">Место нахождения: </w:t>
            </w:r>
          </w:p>
          <w:p>
            <w:pPr>
              <w:pStyle w:val="Tableheader"/>
              <w:widowControl w:val="false"/>
              <w:suppressAutoHyphens w:val="true"/>
              <w:spacing w:before="0" w:after="0"/>
              <w:rPr>
                <w:b w:val="false"/>
                <w:sz w:val="26"/>
                <w:szCs w:val="26"/>
              </w:rPr>
            </w:pPr>
            <w:r>
              <w:rPr>
                <w:b w:val="false"/>
                <w:kern w:val="0"/>
                <w:sz w:val="26"/>
                <w:szCs w:val="26"/>
              </w:rPr>
              <w:t>680000, г. Хабаровск, ул. Фрунзе, д. 49</w:t>
            </w:r>
          </w:p>
          <w:p>
            <w:pPr>
              <w:pStyle w:val="Tableheader"/>
              <w:widowControl w:val="false"/>
              <w:suppressAutoHyphens w:val="true"/>
              <w:spacing w:before="0" w:after="0"/>
              <w:rPr>
                <w:b w:val="false"/>
                <w:bCs w:val="false"/>
                <w:sz w:val="26"/>
                <w:szCs w:val="26"/>
              </w:rPr>
            </w:pPr>
            <w:r>
              <w:rPr>
                <w:b w:val="false"/>
                <w:kern w:val="0"/>
                <w:sz w:val="26"/>
                <w:szCs w:val="26"/>
              </w:rPr>
              <w:t xml:space="preserve">Почтовый адрес: </w:t>
            </w:r>
          </w:p>
          <w:p>
            <w:pPr>
              <w:pStyle w:val="Tableheader"/>
              <w:widowControl w:val="false"/>
              <w:suppressAutoHyphens w:val="true"/>
              <w:spacing w:before="0" w:after="0"/>
              <w:rPr>
                <w:b w:val="false"/>
                <w:bCs w:val="false"/>
                <w:sz w:val="26"/>
                <w:szCs w:val="26"/>
              </w:rPr>
            </w:pPr>
            <w:r>
              <w:rPr>
                <w:b w:val="false"/>
                <w:kern w:val="0"/>
                <w:sz w:val="26"/>
                <w:szCs w:val="26"/>
              </w:rPr>
              <w:t>680000, г. Хабаровск, ул. Фрунзе, д. 49</w:t>
            </w:r>
          </w:p>
          <w:p>
            <w:pPr>
              <w:pStyle w:val="Tableheader"/>
              <w:widowControl w:val="false"/>
              <w:suppressAutoHyphens w:val="true"/>
              <w:spacing w:before="0" w:after="0"/>
              <w:rPr>
                <w:b/>
                <w:bCs/>
                <w:color w:val="7030A0"/>
                <w:sz w:val="26"/>
                <w:szCs w:val="26"/>
                <w:highlight w:val="none"/>
              </w:rPr>
            </w:pPr>
            <w:r>
              <w:rPr>
                <w:b w:val="false"/>
                <w:kern w:val="0"/>
                <w:sz w:val="26"/>
                <w:szCs w:val="26"/>
              </w:rPr>
              <w:t>Адрес электронной почты:</w:t>
            </w:r>
            <w:r>
              <w:rPr>
                <w:b/>
                <w:bCs/>
                <w:color w:val="7030A0"/>
                <w:kern w:val="0"/>
                <w:sz w:val="26"/>
                <w:szCs w:val="26"/>
              </w:rPr>
              <w:t xml:space="preserve"> klyshko-ra</w:t>
            </w:r>
            <w:hyperlink r:id="rId5" w:tgtFrame="http://banschikova-iv@dgk.ru">
              <w:r>
                <w:rPr>
                  <w:rStyle w:val="Hyperlink"/>
                  <w:b/>
                  <w:bCs/>
                  <w:color w:val="7030A0"/>
                  <w:kern w:val="0"/>
                  <w:sz w:val="26"/>
                  <w:szCs w:val="26"/>
                </w:rPr>
                <w:t>@dgk.ru</w:t>
              </w:r>
            </w:hyperlink>
          </w:p>
          <w:p>
            <w:pPr>
              <w:pStyle w:val="Tableheader"/>
              <w:widowControl w:val="false"/>
              <w:suppressAutoHyphens w:val="true"/>
              <w:spacing w:before="0" w:after="0"/>
              <w:rPr>
                <w:b/>
              </w:rPr>
            </w:pPr>
            <w:r>
              <w:rPr>
                <w:b w:val="false"/>
                <w:kern w:val="0"/>
                <w:sz w:val="26"/>
                <w:szCs w:val="26"/>
              </w:rPr>
              <w:t>Контактный телефон: (4212) 264335</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5" w:name="_Ref125361238"/>
            <w:bookmarkStart w:id="26" w:name="_Ref125361238"/>
            <w:bookmarkEnd w:id="26"/>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Представитель Организатора:</w:t>
            </w:r>
          </w:p>
        </w:tc>
        <w:tc>
          <w:tcPr>
            <w:tcW w:w="5644" w:type="dxa"/>
            <w:tcBorders/>
          </w:tcPr>
          <w:p>
            <w:pPr>
              <w:pStyle w:val="Tableheader"/>
              <w:widowControl w:val="false"/>
              <w:suppressAutoHyphens w:val="true"/>
              <w:spacing w:lineRule="auto" w:line="240" w:before="0" w:after="0"/>
              <w:rPr>
                <w:b w:val="false"/>
                <w:bCs w:val="false"/>
                <w:i w:val="false"/>
                <w:i w:val="false"/>
                <w:sz w:val="26"/>
                <w:szCs w:val="26"/>
                <w:shd w:fill="auto" w:val="clear"/>
              </w:rPr>
            </w:pPr>
            <w:r>
              <w:rPr>
                <w:rStyle w:val="Style12"/>
                <w:b w:val="false"/>
                <w:i w:val="false"/>
                <w:kern w:val="0"/>
                <w:sz w:val="26"/>
                <w:szCs w:val="26"/>
                <w:shd w:fill="auto" w:val="clear"/>
              </w:rPr>
              <w:t>Контактное лицо (ФИО):</w:t>
            </w:r>
          </w:p>
          <w:p>
            <w:pPr>
              <w:pStyle w:val="Tableheader"/>
              <w:widowControl w:val="false"/>
              <w:suppressAutoHyphens w:val="true"/>
              <w:spacing w:lineRule="auto" w:line="240" w:before="0" w:after="0"/>
              <w:rPr>
                <w:b w:val="false"/>
                <w:bCs w:val="false"/>
                <w:i w:val="false"/>
                <w:i w:val="false"/>
                <w:sz w:val="26"/>
                <w:szCs w:val="26"/>
              </w:rPr>
            </w:pPr>
            <w:r>
              <w:rPr>
                <w:rStyle w:val="Style12"/>
                <w:b w:val="false"/>
                <w:i w:val="false"/>
                <w:kern w:val="0"/>
                <w:sz w:val="26"/>
                <w:szCs w:val="26"/>
                <w:shd w:fill="auto" w:val="clear"/>
              </w:rPr>
              <w:t>Клышко Руслан Анатольевич</w:t>
            </w:r>
          </w:p>
          <w:p>
            <w:pPr>
              <w:pStyle w:val="Tableheader"/>
              <w:widowControl w:val="false"/>
              <w:suppressAutoHyphens w:val="true"/>
              <w:spacing w:before="0" w:after="0"/>
              <w:rPr>
                <w:b w:val="false"/>
                <w:i w:val="false"/>
                <w:i w:val="false"/>
                <w:sz w:val="26"/>
                <w:szCs w:val="26"/>
                <w:shd w:fill="auto" w:val="clear"/>
                <w14:ligatures w14:val="none"/>
              </w:rPr>
            </w:pPr>
            <w:r>
              <w:rPr>
                <w:b w:val="false"/>
                <w:bCs w:val="false"/>
                <w:kern w:val="0"/>
                <w:sz w:val="26"/>
                <w:szCs w:val="26"/>
              </w:rPr>
              <w:t xml:space="preserve">Контактный телефон: (4212) </w:t>
            </w:r>
            <w:r>
              <w:rPr>
                <w:b w:val="false"/>
                <w:kern w:val="0"/>
                <w:sz w:val="26"/>
                <w:szCs w:val="26"/>
              </w:rPr>
              <w:t>264335</w:t>
            </w:r>
          </w:p>
          <w:p>
            <w:pPr>
              <w:pStyle w:val="Tableheader"/>
              <w:widowControl w:val="false"/>
              <w:suppressAutoHyphens w:val="true"/>
              <w:spacing w:before="0" w:after="0"/>
              <w:rPr/>
            </w:pPr>
            <w:r>
              <w:rPr>
                <w:b w:val="false"/>
                <w:bCs w:val="false"/>
                <w:kern w:val="0"/>
                <w:sz w:val="26"/>
                <w:szCs w:val="26"/>
              </w:rPr>
              <w:t xml:space="preserve">Адрес электронной почты: </w:t>
            </w:r>
            <w:r>
              <w:rPr>
                <w:b/>
                <w:bCs/>
                <w:color w:val="7030A0"/>
                <w:kern w:val="0"/>
                <w:sz w:val="26"/>
                <w:szCs w:val="26"/>
              </w:rPr>
              <w:t>klyshko-ra</w:t>
            </w:r>
            <w:hyperlink r:id="rId6" w:tgtFrame="http://banschikova-iv@dgk.ru">
              <w:r>
                <w:rPr>
                  <w:rStyle w:val="Hyperlink"/>
                  <w:b/>
                  <w:bCs/>
                  <w:color w:val="7030A0"/>
                  <w:kern w:val="0"/>
                  <w:sz w:val="26"/>
                  <w:szCs w:val="26"/>
                </w:rPr>
                <w:t>@dgk.ru</w:t>
              </w:r>
            </w:hyperlink>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7" w:name="_Ref125362694"/>
            <w:bookmarkStart w:id="28" w:name="_Ref125362694"/>
            <w:bookmarkEnd w:id="28"/>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9" w:name="_Ref125360963"/>
            <w:bookmarkStart w:id="30" w:name="_Ref125360963"/>
            <w:bookmarkEnd w:id="30"/>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размещения Извещения о проведении закупки:</w:t>
            </w:r>
          </w:p>
        </w:tc>
        <w:tc>
          <w:tcPr>
            <w:tcW w:w="5644" w:type="dxa"/>
            <w:tcBorders/>
          </w:tcPr>
          <w:p>
            <w:pPr>
              <w:pStyle w:val="Style22"/>
              <w:widowControl w:val="false"/>
              <w:spacing w:lineRule="auto" w:line="240" w:before="60" w:after="60"/>
              <w:rPr>
                <w:b/>
                <w:bCs/>
              </w:rPr>
            </w:pPr>
            <w:r>
              <w:rPr>
                <w:rFonts w:eastAsia="Calibri" w:cs="Arial"/>
                <w:b/>
                <w:bCs/>
                <w:kern w:val="0"/>
                <w:sz w:val="26"/>
                <w:szCs w:val="22"/>
                <w:lang w:val="ru-RU" w:eastAsia="en-US" w:bidi="ar-SA"/>
              </w:rPr>
              <w:t>«31» августа 2026 г.</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1" w:name="_Ref125362837"/>
            <w:bookmarkStart w:id="32" w:name="_Ref125362837"/>
            <w:bookmarkEnd w:id="32"/>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Начальная (максимальная) цена договора (цена лота):</w:t>
            </w:r>
          </w:p>
        </w:tc>
        <w:tc>
          <w:tcPr>
            <w:tcW w:w="5644" w:type="dxa"/>
            <w:tcBorders/>
          </w:tcPr>
          <w:p>
            <w:pPr>
              <w:pStyle w:val="Normal"/>
              <w:widowControl w:val="false"/>
              <w:spacing w:lineRule="atLeast" w:line="57" w:before="62" w:after="62"/>
              <w:ind w:left="0" w:right="0" w:hanging="0"/>
              <w:jc w:val="left"/>
              <w:rPr>
                <w:kern w:val="0"/>
              </w:rPr>
            </w:pPr>
            <w:r>
              <w:rPr>
                <w:rFonts w:eastAsia="Calibri" w:cs="Arial"/>
                <w:kern w:val="0"/>
                <w:sz w:val="26"/>
                <w:szCs w:val="22"/>
                <w:lang w:val="ru-RU" w:eastAsia="en-US" w:bidi="ar-SA"/>
              </w:rPr>
              <w:t xml:space="preserve">НМЦ составляет </w:t>
            </w:r>
            <w:r>
              <w:rPr>
                <w:rFonts w:eastAsia="Times New Roman" w:cs="Times New Roman"/>
                <w:i w:val="false"/>
                <w:iCs w:val="false"/>
                <w:color w:val="000000"/>
                <w:kern w:val="0"/>
                <w:sz w:val="26"/>
                <w:szCs w:val="26"/>
              </w:rPr>
              <w:t>10 955 504,76</w:t>
            </w:r>
            <w:r>
              <w:rPr>
                <w:rFonts w:eastAsia="Times New Roman" w:cs="Times New Roman"/>
                <w:i/>
                <w:color w:val="000000"/>
                <w:kern w:val="0"/>
                <w:sz w:val="22"/>
              </w:rPr>
              <w:t xml:space="preserve"> </w:t>
            </w:r>
            <w:r>
              <w:rPr>
                <w:rFonts w:eastAsia="Calibri" w:cs="Arial"/>
                <w:kern w:val="0"/>
                <w:sz w:val="26"/>
                <w:szCs w:val="22"/>
                <w:lang w:val="ru-RU" w:eastAsia="en-US" w:bidi="ar-SA"/>
              </w:rPr>
              <w:t>руб., без учета НДС.</w:t>
            </w:r>
          </w:p>
          <w:p>
            <w:pPr>
              <w:pStyle w:val="Style22"/>
              <w:widowControl w:val="false"/>
              <w:spacing w:lineRule="auto" w:line="240" w:before="60" w:after="60"/>
              <w:rPr/>
            </w:pPr>
            <w:r>
              <w:rPr>
                <w:rFonts w:eastAsia="Calibri" w:cs="Arial"/>
                <w:kern w:val="0"/>
                <w:sz w:val="26"/>
                <w:szCs w:val="22"/>
                <w:lang w:val="ru-RU" w:eastAsia="en-US" w:bidi="ar-SA"/>
              </w:rPr>
              <w:t xml:space="preserve">Обоснование НМЦ представлено в </w:t>
            </w:r>
            <w:hyperlink w:anchor="Прил09_ОбоснованиеНМЦ" w:tgtFrame="#Прил09_ОбоснованиеНМЦ">
              <w:r>
                <w:rPr>
                  <w:rStyle w:val="Style6"/>
                  <w:rFonts w:eastAsia="Calibri" w:cs="Arial"/>
                  <w:kern w:val="0"/>
                  <w:sz w:val="26"/>
                  <w:szCs w:val="22"/>
                  <w:lang w:val="ru-RU" w:eastAsia="en-US" w:bidi="ar-SA"/>
                </w:rPr>
                <w:t>Приложении № 9</w:t>
              </w:r>
            </w:hyperlink>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3" w:name="_Ref125363076"/>
            <w:bookmarkStart w:id="34" w:name="_Ref125363076"/>
            <w:bookmarkEnd w:id="34"/>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Обеспечение заявки на участие в закупке:</w:t>
            </w:r>
          </w:p>
        </w:tc>
        <w:tc>
          <w:tcPr>
            <w:tcW w:w="5644" w:type="dxa"/>
            <w:tcBorders/>
          </w:tcPr>
          <w:p>
            <w:pPr>
              <w:pStyle w:val="Normal"/>
              <w:widowControl w:val="false"/>
              <w:spacing w:lineRule="atLeast" w:line="57" w:before="62" w:after="62"/>
              <w:ind w:left="11" w:right="0" w:hanging="0"/>
              <w:jc w:val="left"/>
              <w:rPr>
                <w:kern w:val="0"/>
              </w:rPr>
            </w:pPr>
            <w:r>
              <w:rPr>
                <w:kern w:val="0"/>
              </w:rPr>
              <w:t xml:space="preserve">Размер обеспечения заявок: </w:t>
            </w:r>
            <w:r>
              <w:rPr>
                <w:rFonts w:eastAsia="Times New Roman" w:cs="Times New Roman"/>
                <w:i w:val="false"/>
                <w:iCs w:val="false"/>
                <w:color w:val="000000"/>
                <w:kern w:val="0"/>
                <w:sz w:val="26"/>
                <w:szCs w:val="26"/>
              </w:rPr>
              <w:t xml:space="preserve">330 991 </w:t>
            </w:r>
            <w:r>
              <w:rPr>
                <w:kern w:val="0"/>
              </w:rPr>
              <w:t>рублей 0 копеек, НДС не облагается.</w:t>
            </w:r>
          </w:p>
          <w:p>
            <w:pPr>
              <w:pStyle w:val="Style22"/>
              <w:widowControl w:val="false"/>
              <w:rPr>
                <w:kern w:val="0"/>
              </w:rPr>
            </w:pPr>
            <w:r>
              <w:rPr>
                <w:kern w:val="0"/>
              </w:rPr>
              <w:t>Допустимые формы обеспечения заявок:</w:t>
            </w:r>
          </w:p>
          <w:p>
            <w:pPr>
              <w:pStyle w:val="Style22"/>
              <w:widowControl w:val="false"/>
              <w:numPr>
                <w:ilvl w:val="0"/>
                <w:numId w:val="22"/>
              </w:numPr>
              <w:spacing w:before="120" w:after="0"/>
              <w:ind w:left="284" w:hanging="284"/>
              <w:rPr>
                <w:kern w:val="0"/>
              </w:rPr>
            </w:pPr>
            <w:r>
              <w:rPr>
                <w:kern w:val="0"/>
              </w:rPr>
              <w:t>внесение денежных средств на индивидуальные счет, открытый Участнику Оператором ЭП в соответствии с Регламентом ЭП; с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Pr>
                <w:kern w:val="0"/>
              </w:rPr>
              <w:fldChar w:fldCharType="begin"/>
            </w:r>
            <w:r>
              <w:rPr>
                <w:kern w:val="0"/>
              </w:rPr>
              <w:instrText xml:space="preserve"> REF _Ref125360779 \r \h </w:instrText>
            </w:r>
            <w:r>
              <w:rPr>
                <w:kern w:val="0"/>
              </w:rPr>
              <w:fldChar w:fldCharType="separate"/>
            </w:r>
            <w:r>
              <w:rPr>
                <w:kern w:val="0"/>
              </w:rPr>
              <w:t>1.2.18</w:t>
            </w:r>
            <w:r>
              <w:rPr>
                <w:kern w:val="0"/>
              </w:rPr>
              <w:fldChar w:fldCharType="end"/>
            </w:r>
            <w:r>
              <w:rPr>
                <w:kern w:val="0"/>
              </w:rPr>
              <w:t>;</w:t>
            </w:r>
          </w:p>
          <w:p>
            <w:pPr>
              <w:pStyle w:val="Style22"/>
              <w:widowControl w:val="false"/>
              <w:numPr>
                <w:ilvl w:val="0"/>
                <w:numId w:val="22"/>
              </w:numPr>
              <w:spacing w:before="0" w:after="0"/>
              <w:ind w:left="284" w:hanging="284"/>
              <w:rPr>
                <w:kern w:val="0"/>
              </w:rPr>
            </w:pPr>
            <w:r>
              <w:rPr>
                <w:kern w:val="0"/>
              </w:rPr>
              <w:t>предоставление банковской гарантии (в том числе электронной банковской гарантии, выданной посредством функционала ЭП), составленной с учетом требований подраздела </w:t>
            </w:r>
            <w:r>
              <w:rPr>
                <w:kern w:val="0"/>
              </w:rPr>
              <w:fldChar w:fldCharType="begin"/>
            </w:r>
            <w:r>
              <w:rPr>
                <w:kern w:val="0"/>
              </w:rPr>
              <w:instrText xml:space="preserve"> REF _Ref130455226 \r \h </w:instrText>
            </w:r>
            <w:r>
              <w:rPr>
                <w:kern w:val="0"/>
              </w:rPr>
              <w:fldChar w:fldCharType="separate"/>
            </w:r>
            <w:r>
              <w:rPr>
                <w:kern w:val="0"/>
              </w:rPr>
              <w:t>4.17</w:t>
            </w:r>
            <w:r>
              <w:rPr>
                <w:kern w:val="0"/>
              </w:rPr>
              <w:fldChar w:fldCharType="end"/>
            </w:r>
            <w:r>
              <w:rPr>
                <w:kern w:val="0"/>
              </w:rPr>
              <w:t>.</w:t>
            </w:r>
          </w:p>
          <w:p>
            <w:pPr>
              <w:pStyle w:val="Style22"/>
              <w:widowControl w:val="false"/>
              <w:rPr>
                <w:i w:val="false"/>
                <w:i w:val="false"/>
                <w:iCs w:val="false"/>
                <w:shd w:fill="auto" w:val="clear"/>
              </w:rPr>
            </w:pPr>
            <w:r>
              <w:rPr>
                <w:rStyle w:val="Style3"/>
                <w:i w:val="false"/>
                <w:iCs w:val="false"/>
                <w:kern w:val="0"/>
                <w:shd w:fill="auto" w:val="clear"/>
              </w:rPr>
              <w:t>Выбор формы (способа) обеспечения заявки из числа указанных осуществляется Участником самостоятельно.</w:t>
            </w:r>
          </w:p>
          <w:p>
            <w:pPr>
              <w:pStyle w:val="Style22"/>
              <w:widowControl w:val="false"/>
              <w:rPr>
                <w:rStyle w:val="Style3"/>
                <w:bCs w:val="false"/>
                <w:i w:val="false"/>
                <w:i w:val="false"/>
                <w:highlight w:val="none"/>
              </w:rPr>
            </w:pPr>
            <w:r>
              <w:rPr>
                <w:rStyle w:val="Style3"/>
                <w:i w:val="false"/>
                <w:iCs w:val="false"/>
                <w:kern w:val="0"/>
                <w:shd w:fill="auto" w:val="clear"/>
              </w:rPr>
              <w:t>Банковские реквизиты Заказчика (для перечисления Банком-гарантом суммы обеспечения заявок в случае нарушения Участником своих обязательств, связанных с участием в закупке):</w:t>
            </w:r>
          </w:p>
          <w:p>
            <w:pPr>
              <w:pStyle w:val="Normal"/>
              <w:widowControl w:val="false"/>
              <w:spacing w:lineRule="atLeast" w:line="57" w:before="62" w:after="62"/>
              <w:ind w:left="0" w:right="0" w:hanging="0"/>
              <w:rPr>
                <w:sz w:val="26"/>
                <w:szCs w:val="26"/>
              </w:rPr>
            </w:pPr>
            <w:r>
              <w:rPr>
                <w:rFonts w:eastAsia="Times New Roman" w:cs="Times New Roman"/>
                <w:i/>
                <w:color w:val="000000"/>
                <w:kern w:val="0"/>
                <w:sz w:val="26"/>
                <w:szCs w:val="26"/>
              </w:rPr>
              <w:t>Банковские реквизиты Заказчика:</w:t>
            </w:r>
          </w:p>
          <w:p>
            <w:pPr>
              <w:pStyle w:val="Normal"/>
              <w:widowControl w:val="false"/>
              <w:spacing w:lineRule="atLeast" w:line="57" w:before="62" w:after="62"/>
              <w:ind w:left="0" w:right="0" w:hanging="0"/>
              <w:rPr>
                <w:sz w:val="26"/>
                <w:szCs w:val="26"/>
              </w:rPr>
            </w:pPr>
            <w:r>
              <w:rPr>
                <w:rFonts w:eastAsia="Times New Roman" w:cs="Times New Roman"/>
                <w:i/>
                <w:color w:val="000000"/>
                <w:kern w:val="0"/>
                <w:sz w:val="26"/>
                <w:szCs w:val="26"/>
              </w:rPr>
              <w:t>Наименование получателя: АО «ДГК»</w:t>
            </w:r>
          </w:p>
          <w:p>
            <w:pPr>
              <w:pStyle w:val="Normal"/>
              <w:widowControl w:val="false"/>
              <w:spacing w:lineRule="atLeast" w:line="57" w:before="62" w:after="62"/>
              <w:ind w:left="0" w:right="0" w:hanging="0"/>
              <w:rPr>
                <w:sz w:val="26"/>
                <w:szCs w:val="26"/>
              </w:rPr>
            </w:pPr>
            <w:r>
              <w:rPr>
                <w:rFonts w:eastAsia="Times New Roman" w:cs="Times New Roman"/>
                <w:i/>
                <w:color w:val="000000"/>
                <w:kern w:val="0"/>
                <w:sz w:val="26"/>
                <w:szCs w:val="26"/>
              </w:rPr>
              <w:t>ИНН 1434031363 КПП 2721010001</w:t>
            </w:r>
          </w:p>
          <w:p>
            <w:pPr>
              <w:pStyle w:val="Normal"/>
              <w:widowControl w:val="false"/>
              <w:spacing w:lineRule="atLeast" w:line="57" w:before="62" w:after="62"/>
              <w:ind w:left="0" w:right="0" w:hanging="0"/>
              <w:rPr>
                <w:sz w:val="26"/>
                <w:szCs w:val="26"/>
              </w:rPr>
            </w:pPr>
            <w:r>
              <w:rPr>
                <w:rFonts w:eastAsia="Times New Roman" w:cs="Times New Roman"/>
                <w:i/>
                <w:color w:val="000000"/>
                <w:kern w:val="0"/>
                <w:sz w:val="26"/>
                <w:szCs w:val="26"/>
              </w:rPr>
              <w:t>р/с 407 028 102 700 000 088 18 в Дальневосточный Банк ПАО Сбербанка РФ г. Хабаровск</w:t>
            </w:r>
          </w:p>
          <w:p>
            <w:pPr>
              <w:pStyle w:val="Normal"/>
              <w:widowControl w:val="false"/>
              <w:spacing w:lineRule="atLeast" w:line="57" w:before="62" w:after="62"/>
              <w:ind w:left="0" w:right="0" w:hanging="0"/>
              <w:rPr>
                <w:sz w:val="26"/>
                <w:szCs w:val="26"/>
              </w:rPr>
            </w:pPr>
            <w:r>
              <w:rPr>
                <w:rFonts w:eastAsia="Times New Roman" w:cs="Times New Roman"/>
                <w:i/>
                <w:color w:val="000000"/>
                <w:kern w:val="0"/>
                <w:sz w:val="26"/>
                <w:szCs w:val="26"/>
              </w:rPr>
              <w:t>к/с 301 018 106 000 000 006 08</w:t>
            </w:r>
          </w:p>
          <w:p>
            <w:pPr>
              <w:pStyle w:val="Normal"/>
              <w:widowControl w:val="false"/>
              <w:spacing w:lineRule="atLeast" w:line="57" w:before="62" w:after="62"/>
              <w:ind w:left="0" w:right="0" w:hanging="0"/>
              <w:rPr>
                <w:sz w:val="26"/>
                <w:szCs w:val="26"/>
              </w:rPr>
            </w:pPr>
            <w:r>
              <w:rPr>
                <w:rFonts w:eastAsia="Times New Roman" w:cs="Times New Roman"/>
                <w:i/>
                <w:color w:val="000000"/>
                <w:kern w:val="0"/>
                <w:sz w:val="26"/>
                <w:szCs w:val="26"/>
              </w:rPr>
              <w:t>БИК 0408133608</w:t>
            </w:r>
          </w:p>
          <w:p>
            <w:pPr>
              <w:pStyle w:val="Style22"/>
              <w:widowControl w:val="false"/>
              <w:rPr>
                <w:kern w:val="0"/>
              </w:rPr>
            </w:pPr>
            <w:r>
              <w:rPr>
                <w:kern w:val="0"/>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5" w:name="_Ref125362995"/>
            <w:bookmarkStart w:id="36" w:name="_Ref125362995"/>
            <w:bookmarkEnd w:id="36"/>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Требования</w:t>
              <w:br/>
              <w:t>к описанию продукции:</w:t>
            </w:r>
          </w:p>
        </w:tc>
        <w:tc>
          <w:tcPr>
            <w:tcW w:w="5644" w:type="dxa"/>
            <w:tcBorders/>
          </w:tcPr>
          <w:p>
            <w:pPr>
              <w:pStyle w:val="Style22"/>
              <w:widowControl w:val="false"/>
              <w:spacing w:lineRule="auto" w:line="240" w:before="60" w:after="60"/>
              <w:rPr/>
            </w:pPr>
            <w:r>
              <w:rPr>
                <w:rFonts w:eastAsia="Calibri" w:cs="Arial"/>
                <w:kern w:val="0"/>
                <w:sz w:val="26"/>
                <w:szCs w:val="22"/>
                <w:lang w:val="ru-RU" w:eastAsia="en-US" w:bidi="ar-SA"/>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r>
              <w:rPr>
                <w:rFonts w:eastAsia="Calibri" w:cs="Arial"/>
                <w:kern w:val="0"/>
                <w:sz w:val="26"/>
                <w:szCs w:val="22"/>
                <w:lang w:val="ru-RU" w:eastAsia="en-US" w:bidi="ar-SA"/>
              </w:rPr>
              <w:t>, – по установленной форме Технического предложения (форма 4)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Применение законодательства о национальном режиме:</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Национальный режим не предоставляется.</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 xml:space="preserve">Установлен </w:t>
            </w:r>
            <w:r>
              <w:rPr>
                <w:rFonts w:eastAsia="Calibri" w:cs="Arial"/>
                <w:b/>
                <w:bCs/>
                <w:kern w:val="0"/>
                <w:sz w:val="26"/>
                <w:szCs w:val="22"/>
                <w:lang w:val="ru-RU" w:eastAsia="en-US" w:bidi="ar-SA"/>
              </w:rPr>
              <w:t>режим преимущества</w:t>
            </w:r>
            <w:r>
              <w:rPr>
                <w:rFonts w:eastAsia="Calibri" w:cs="Arial"/>
                <w:kern w:val="0"/>
                <w:sz w:val="26"/>
                <w:szCs w:val="22"/>
                <w:lang w:val="ru-RU" w:eastAsia="en-US" w:bidi="ar-SA"/>
              </w:rPr>
              <w:t xml:space="preserve"> российской продукции (или ее части).</w:t>
            </w:r>
          </w:p>
          <w:p>
            <w:pPr>
              <w:pStyle w:val="Style22"/>
              <w:widowControl w:val="false"/>
              <w:spacing w:lineRule="auto" w:line="240" w:before="60" w:after="60"/>
              <w:rPr/>
            </w:pPr>
            <w:r>
              <w:rPr>
                <w:rFonts w:eastAsia="Calibri" w:cs="Arial"/>
                <w:kern w:val="0"/>
                <w:sz w:val="26"/>
                <w:szCs w:val="22"/>
                <w:lang w:val="ru-RU" w:eastAsia="en-US" w:bidi="ar-SA"/>
              </w:rPr>
              <w:t>Подробнее в отношении каждой позиции закупаемой продукции указано в Структуре НМЦ (в составе Коммерческого предложения (форма 3)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7" w:name="_Ref125533737"/>
            <w:bookmarkStart w:id="38" w:name="_Ref125533737"/>
            <w:bookmarkEnd w:id="38"/>
          </w:p>
        </w:tc>
        <w:tc>
          <w:tcPr>
            <w:tcW w:w="3267" w:type="dxa"/>
            <w:tcBorders/>
          </w:tcPr>
          <w:p>
            <w:pPr>
              <w:pStyle w:val="Normal"/>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Возможность подачи альтернативных предложений:</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Не предусмотрена.</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9" w:name="_Ref125475086"/>
            <w:bookmarkStart w:id="40" w:name="_Ref125475086"/>
            <w:bookmarkEnd w:id="40"/>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Место и порядок подачи заявок:</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Заявки подаются посредством функционала ЭП, по адресу ЭП, указанному в пункте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_Ref125360764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1" w:name="_Ref125360779"/>
            <w:bookmarkStart w:id="42" w:name="_Ref125360779"/>
            <w:bookmarkEnd w:id="42"/>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начала; дата и время окончания срока подачи заявок:</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начала подачи заявок:</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«31» августа 2026 г</w:t>
            </w:r>
            <w:r>
              <w:rPr>
                <w:rFonts w:eastAsia="Calibri" w:cs="Arial"/>
                <w:kern w:val="0"/>
                <w:sz w:val="26"/>
                <w:szCs w:val="22"/>
                <w:lang w:val="ru-RU" w:eastAsia="en-US" w:bidi="ar-SA"/>
              </w:rPr>
              <w:t>.</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и время окончания срока подачи заявок:</w:t>
            </w:r>
          </w:p>
          <w:p>
            <w:pPr>
              <w:pStyle w:val="Style22"/>
              <w:widowControl w:val="false"/>
              <w:spacing w:lineRule="auto" w:line="240" w:before="60" w:after="60"/>
              <w:rPr>
                <w:b/>
                <w:bCs/>
              </w:rPr>
            </w:pPr>
            <w:r>
              <w:rPr>
                <w:rFonts w:eastAsia="Calibri" w:cs="Arial"/>
                <w:b/>
                <w:bCs/>
                <w:kern w:val="0"/>
                <w:sz w:val="26"/>
                <w:szCs w:val="22"/>
                <w:lang w:val="ru-RU" w:eastAsia="en-US" w:bidi="ar-SA"/>
              </w:rPr>
              <w:t>«21» сентября 2026 г. в 10 ч. 00 мин.</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 московскому времени).</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Срок предоставления Участникам разъяснений Документации о закупке:</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и время окончания срока предоставления разъяснений:</w:t>
            </w:r>
          </w:p>
          <w:p>
            <w:pPr>
              <w:pStyle w:val="Style22"/>
              <w:widowControl w:val="false"/>
              <w:spacing w:lineRule="auto" w:line="240" w:before="60" w:after="60"/>
              <w:rPr>
                <w:b/>
                <w:bCs/>
              </w:rPr>
            </w:pPr>
            <w:r>
              <w:rPr>
                <w:rFonts w:eastAsia="Calibri" w:cs="Arial"/>
                <w:b/>
                <w:bCs/>
                <w:kern w:val="0"/>
                <w:sz w:val="26"/>
                <w:szCs w:val="22"/>
                <w:lang w:val="ru-RU" w:eastAsia="en-US" w:bidi="ar-SA"/>
              </w:rPr>
              <w:t>«21» сентября 2026 г. в 10 ч. 00 мин.</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 московскому времени).</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_Ref125360779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1.2.18</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3" w:name="_Ref125476197"/>
            <w:bookmarkStart w:id="44" w:name="_Ref125476197"/>
            <w:bookmarkEnd w:id="44"/>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Место открытия</w:t>
              <w:br/>
              <w:t>доступа к заявкам:</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_Ref125360764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5" w:name="_Ref125362733"/>
            <w:bookmarkStart w:id="46" w:name="_Ref125362733"/>
            <w:bookmarkEnd w:id="46"/>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окончания рассмотрения заявок:</w:t>
            </w:r>
          </w:p>
        </w:tc>
        <w:tc>
          <w:tcPr>
            <w:tcW w:w="5644" w:type="dxa"/>
            <w:tcBorders/>
          </w:tcPr>
          <w:p>
            <w:pPr>
              <w:pStyle w:val="Style22"/>
              <w:widowControl w:val="false"/>
              <w:spacing w:lineRule="auto" w:line="240" w:before="60" w:after="60"/>
              <w:rPr>
                <w:b/>
                <w:bCs/>
              </w:rPr>
            </w:pPr>
            <w:r>
              <w:rPr>
                <w:rFonts w:eastAsia="Calibri" w:cs="Arial"/>
                <w:b/>
                <w:bCs/>
                <w:kern w:val="0"/>
                <w:sz w:val="26"/>
                <w:szCs w:val="22"/>
                <w:lang w:val="ru-RU" w:eastAsia="en-US" w:bidi="ar-SA"/>
              </w:rPr>
              <w:t>«12» октября 2026 г.</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3267" w:type="dxa"/>
            <w:tcBorders/>
          </w:tcPr>
          <w:p>
            <w:pPr>
              <w:pStyle w:val="Style22"/>
              <w:widowControl w:val="false"/>
              <w:spacing w:lineRule="auto" w:line="240" w:before="60" w:after="60"/>
              <w:jc w:val="left"/>
              <w:rPr>
                <w:color w:val="auto"/>
              </w:rPr>
            </w:pPr>
            <w:r>
              <w:rPr>
                <w:rFonts w:eastAsia="Calibri" w:cs="Arial"/>
                <w:b/>
                <w:bCs/>
                <w:color w:val="auto"/>
                <w:kern w:val="0"/>
                <w:sz w:val="26"/>
                <w:szCs w:val="22"/>
                <w:lang w:val="ru-RU" w:eastAsia="en-US" w:bidi="ar-SA"/>
              </w:rPr>
              <w:t>Возможность проведения процедуры переторжки:</w:t>
            </w:r>
          </w:p>
        </w:tc>
        <w:tc>
          <w:tcPr>
            <w:tcW w:w="5644" w:type="dxa"/>
            <w:tcBorders/>
          </w:tcPr>
          <w:p>
            <w:pPr>
              <w:pStyle w:val="Style22"/>
              <w:widowControl w:val="false"/>
              <w:spacing w:lineRule="auto" w:line="240" w:before="60" w:after="60"/>
              <w:rPr>
                <w:b/>
                <w:bCs/>
                <w:color w:val="auto"/>
              </w:rPr>
            </w:pPr>
            <w:r>
              <w:rPr>
                <w:rFonts w:eastAsia="Calibri" w:cs="Arial"/>
                <w:b/>
                <w:bCs/>
                <w:color w:val="auto"/>
                <w:kern w:val="0"/>
                <w:sz w:val="26"/>
                <w:szCs w:val="22"/>
                <w:lang w:val="ru-RU" w:eastAsia="en-US" w:bidi="ar-SA"/>
              </w:rPr>
              <w:t>Не предусмотрено.</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7" w:name="_Ref125362757"/>
            <w:bookmarkStart w:id="48" w:name="_Ref125362757"/>
            <w:bookmarkEnd w:id="48"/>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Дата подведения</w:t>
              <w:br/>
              <w:t>итогов закупки:</w:t>
            </w:r>
          </w:p>
        </w:tc>
        <w:tc>
          <w:tcPr>
            <w:tcW w:w="5644" w:type="dxa"/>
            <w:tcBorders/>
          </w:tcPr>
          <w:p>
            <w:pPr>
              <w:pStyle w:val="Style22"/>
              <w:widowControl w:val="false"/>
              <w:spacing w:lineRule="auto" w:line="240" w:before="60" w:after="60"/>
              <w:rPr>
                <w:b/>
                <w:bCs/>
              </w:rPr>
            </w:pPr>
            <w:r>
              <w:rPr>
                <w:rFonts w:eastAsia="Calibri" w:cs="Arial"/>
                <w:b/>
                <w:bCs/>
                <w:kern w:val="0"/>
                <w:sz w:val="26"/>
                <w:szCs w:val="22"/>
                <w:lang w:val="ru-RU" w:eastAsia="en-US" w:bidi="ar-SA"/>
              </w:rPr>
              <w:t>«12» октября 2026 г.</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49" w:name="_Ref125361769"/>
            <w:bookmarkStart w:id="50" w:name="_Ref125361769"/>
            <w:bookmarkEnd w:id="50"/>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Не предусмотрено.</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Порядок подведения</w:t>
              <w:br/>
              <w:t>итогов закупки:</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1" w:name="_Ref125366606"/>
            <w:bookmarkStart w:id="52" w:name="_Ref125366606"/>
            <w:bookmarkEnd w:id="52"/>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Количество победителей закупки (в рамках одного лота):</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Один победитель.</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3" w:name="_Ref125533374"/>
            <w:bookmarkStart w:id="54" w:name="_Ref125533374"/>
            <w:bookmarkEnd w:id="54"/>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Форма заключения Договора:</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_Ref126142429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 xml:space="preserve">Если договор будет заключаться в электронной форме посредством информационной системы электронного документооборота </w:t>
            </w:r>
            <w:r>
              <w:rPr>
                <w:rFonts w:eastAsia="Calibri" w:cs="Arial"/>
                <w:kern w:val="0"/>
                <w:sz w:val="26"/>
                <w:szCs w:val="22"/>
                <w:u w:val="single"/>
                <w:lang w:val="ru-RU" w:eastAsia="en-US" w:bidi="ar-SA"/>
              </w:rPr>
              <w:t>Контур. Диадок система электронного юридически значимого документооборота (https://diadoc.kontur.ru)</w:t>
            </w:r>
            <w:r>
              <w:rPr>
                <w:rFonts w:eastAsia="Calibri" w:cs="Arial"/>
                <w:kern w:val="0"/>
                <w:sz w:val="26"/>
                <w:szCs w:val="22"/>
                <w:lang w:val="ru-RU" w:eastAsia="en-US" w:bidi="ar-SA"/>
              </w:rPr>
              <w:t>,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5" w:name="_Ref125366813"/>
            <w:bookmarkStart w:id="56" w:name="_Ref125366813"/>
            <w:bookmarkEnd w:id="56"/>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44" w:type="dxa"/>
            <w:tcBorders/>
          </w:tcPr>
          <w:p>
            <w:pPr>
              <w:pStyle w:val="Style22"/>
              <w:keepNext w:val="true"/>
              <w:widowControl w:val="false"/>
              <w:spacing w:lineRule="auto" w:line="240" w:before="0" w:after="0"/>
              <w:contextualSpacing/>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Для подачи документов в бумажной форме:</w:t>
            </w:r>
          </w:p>
          <w:p>
            <w:pPr>
              <w:pStyle w:val="Normal"/>
              <w:widowControl w:val="false"/>
              <w:spacing w:lineRule="auto" w:line="240" w:before="0" w:after="0"/>
              <w:contextualSpacing/>
              <w:jc w:val="left"/>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Контактное лицо: Коркина Светлана Владимировна</w:t>
            </w:r>
          </w:p>
          <w:p>
            <w:pPr>
              <w:pStyle w:val="Normal"/>
              <w:widowControl w:val="false"/>
              <w:spacing w:lineRule="auto" w:line="240" w:before="0" w:after="0"/>
              <w:contextualSpacing/>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 xml:space="preserve">Почтовый адрес: </w:t>
            </w:r>
          </w:p>
          <w:p>
            <w:pPr>
              <w:pStyle w:val="Normal"/>
              <w:widowControl w:val="false"/>
              <w:spacing w:lineRule="auto" w:line="240" w:before="0" w:after="0"/>
              <w:contextualSpacing/>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 xml:space="preserve">680000 г. Хабаровск ул. Фрунзе, 49, </w:t>
            </w:r>
          </w:p>
          <w:p>
            <w:pPr>
              <w:pStyle w:val="Style22"/>
              <w:widowControl w:val="false"/>
              <w:spacing w:lineRule="auto" w:line="240" w:before="0" w:after="0"/>
              <w:contextualSpacing/>
              <w:rPr>
                <w:rFonts w:ascii="Times New Roman" w:hAnsi="Times New Roman" w:eastAsia="Calibri" w:cs="Arial"/>
                <w:sz w:val="26"/>
                <w:lang w:val="ru-RU" w:eastAsia="en-US" w:bidi="ar-SA"/>
              </w:rPr>
            </w:pPr>
            <w:r>
              <w:rPr>
                <w:rFonts w:eastAsia="Calibri" w:cs="Arial"/>
                <w:kern w:val="0"/>
                <w:sz w:val="26"/>
                <w:szCs w:val="22"/>
                <w:lang w:val="ru-RU" w:eastAsia="en-US" w:bidi="ar-SA"/>
              </w:rPr>
              <w:t>Для подачи документов в электронной форме:</w:t>
            </w:r>
          </w:p>
          <w:p>
            <w:pPr>
              <w:pStyle w:val="Style22"/>
              <w:widowControl w:val="false"/>
              <w:spacing w:lineRule="auto" w:line="240" w:before="0" w:after="0"/>
              <w:contextualSpacing/>
              <w:rPr>
                <w:rFonts w:ascii="Times New Roman" w:hAnsi="Times New Roman" w:eastAsia="Calibri" w:cs="Arial"/>
                <w:sz w:val="26"/>
                <w:szCs w:val="22"/>
                <w:lang w:val="ru-RU" w:eastAsia="en-US" w:bidi="ar-SA"/>
              </w:rPr>
            </w:pPr>
            <w:bookmarkStart w:id="57" w:name="_Hlk193278855"/>
            <w:r>
              <w:rPr>
                <w:rFonts w:eastAsia="Calibri" w:cs="Arial"/>
                <w:kern w:val="0"/>
                <w:sz w:val="26"/>
                <w:szCs w:val="22"/>
                <w:lang w:val="ru-RU" w:eastAsia="en-US" w:bidi="ar-SA"/>
              </w:rPr>
              <w:t>Корпоративный сайт ПАО «РусГидро»</w:t>
            </w:r>
            <w:bookmarkEnd w:id="57"/>
            <w:r>
              <w:rPr>
                <w:rFonts w:eastAsia="Calibri" w:cs="Arial"/>
                <w:kern w:val="0"/>
                <w:sz w:val="26"/>
                <w:szCs w:val="22"/>
                <w:lang w:val="ru-RU" w:eastAsia="en-US" w:bidi="ar-SA"/>
              </w:rPr>
              <w:t>, через специально созданную учетную запись (подробный порядок содержится в 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_Ref126142429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58" w:name="_Ref125368490"/>
            <w:bookmarkStart w:id="59" w:name="_Ref125368490"/>
            <w:bookmarkEnd w:id="59"/>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Некритичные пункты Проекта договора:</w:t>
            </w:r>
          </w:p>
        </w:tc>
        <w:tc>
          <w:tcPr>
            <w:tcW w:w="5644"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Отсутствуют.</w:t>
            </w:r>
          </w:p>
        </w:tc>
      </w:tr>
      <w:tr>
        <w:trPr/>
        <w:tc>
          <w:tcPr>
            <w:tcW w:w="843" w:type="dxa"/>
            <w:tcBorders/>
          </w:tcPr>
          <w:p>
            <w:pPr>
              <w:pStyle w:val="Style18"/>
              <w:widowControl w:val="false"/>
              <w:spacing w:lineRule="auto" w:line="240" w:before="60" w:after="60"/>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3267" w:type="dxa"/>
            <w:tcBorders/>
          </w:tcPr>
          <w:p>
            <w:pPr>
              <w:pStyle w:val="Style22"/>
              <w:widowControl w:val="false"/>
              <w:spacing w:lineRule="auto" w:line="240" w:before="60" w:after="60"/>
              <w:jc w:val="left"/>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Обеспечение</w:t>
              <w:br/>
              <w:t>исполнения Договора:</w:t>
            </w:r>
          </w:p>
        </w:tc>
        <w:tc>
          <w:tcPr>
            <w:tcW w:w="5644" w:type="dxa"/>
            <w:tcBorders/>
          </w:tcPr>
          <w:p>
            <w:pPr>
              <w:pStyle w:val="Normal"/>
              <w:widowControl w:val="false"/>
              <w:spacing w:lineRule="atLeast" w:line="57" w:before="120" w:after="0"/>
              <w:ind w:left="0" w:right="0" w:hanging="0"/>
              <w:rPr>
                <w:bCs w:val="false"/>
                <w:i w:val="false"/>
                <w:i w:val="false"/>
                <w:sz w:val="26"/>
                <w:szCs w:val="26"/>
              </w:rPr>
            </w:pPr>
            <w:r>
              <w:rPr>
                <w:rFonts w:eastAsia="Times New Roman" w:cs="Times New Roman"/>
                <w:i w:val="false"/>
                <w:iCs w:val="false"/>
                <w:color w:val="000000"/>
                <w:kern w:val="0"/>
                <w:sz w:val="26"/>
                <w:szCs w:val="26"/>
              </w:rPr>
              <w:t>Требуется</w:t>
            </w:r>
          </w:p>
          <w:p>
            <w:pPr>
              <w:pStyle w:val="Normal"/>
              <w:widowControl w:val="false"/>
              <w:spacing w:lineRule="atLeast" w:line="57" w:before="120" w:after="0"/>
              <w:ind w:left="0" w:right="0" w:hanging="0"/>
              <w:jc w:val="both"/>
              <w:rPr>
                <w:bCs w:val="false"/>
                <w:i w:val="false"/>
                <w:i w:val="false"/>
                <w:sz w:val="26"/>
                <w:szCs w:val="26"/>
              </w:rPr>
            </w:pPr>
            <w:r>
              <w:rPr>
                <w:rFonts w:eastAsia="Times New Roman" w:cs="Times New Roman"/>
                <w:i w:val="false"/>
                <w:iCs w:val="false"/>
                <w:color w:val="000000"/>
                <w:kern w:val="0"/>
                <w:sz w:val="26"/>
                <w:szCs w:val="26"/>
              </w:rPr>
              <w:t>Возврат предварительной оплаты (аванса): Поставщик в срок не позднее 3 (трех) рабочих дней до предполагаемой даты выплаты авансового платежа, должен предоставить обеспечение исполнения обязательств по возврату аванса в виде Банковской гарантии в размере аванса в размере 30% от стоимости партии продукции по заявке (в соответствии с п.2.5.1 проекта Договора).</w:t>
            </w:r>
          </w:p>
          <w:p>
            <w:pPr>
              <w:pStyle w:val="Normal"/>
              <w:widowControl w:val="false"/>
              <w:spacing w:lineRule="atLeast" w:line="57" w:before="120" w:after="0"/>
              <w:ind w:left="0" w:right="0" w:hanging="0"/>
              <w:jc w:val="both"/>
              <w:rPr>
                <w:bCs w:val="false"/>
                <w:i w:val="false"/>
                <w:i w:val="false"/>
                <w:sz w:val="26"/>
                <w:szCs w:val="26"/>
              </w:rPr>
            </w:pPr>
            <w:r>
              <w:rPr>
                <w:rFonts w:eastAsia="Times New Roman" w:cs="Times New Roman"/>
                <w:i w:val="false"/>
                <w:iCs w:val="false"/>
                <w:color w:val="000000"/>
                <w:kern w:val="0"/>
                <w:sz w:val="26"/>
                <w:szCs w:val="26"/>
              </w:rPr>
              <w:t>Валюта обеспечения исполнения Договора: российский рубль</w:t>
            </w:r>
          </w:p>
          <w:p>
            <w:pPr>
              <w:pStyle w:val="Normal"/>
              <w:widowControl w:val="false"/>
              <w:spacing w:lineRule="atLeast" w:line="57" w:before="120" w:after="0"/>
              <w:ind w:left="0" w:right="0" w:hanging="0"/>
              <w:jc w:val="both"/>
              <w:rPr>
                <w:bCs w:val="false"/>
                <w:i w:val="false"/>
                <w:i w:val="false"/>
                <w:sz w:val="26"/>
                <w:szCs w:val="26"/>
              </w:rPr>
            </w:pPr>
            <w:r>
              <w:rPr>
                <w:rFonts w:eastAsia="Times New Roman" w:cs="Times New Roman"/>
                <w:i w:val="false"/>
                <w:iCs w:val="false"/>
                <w:color w:val="000000"/>
                <w:kern w:val="0"/>
                <w:sz w:val="26"/>
                <w:szCs w:val="26"/>
              </w:rPr>
              <w:t>Иные требования к обеспечению исполнения Договора: приведены в Проекте договора (Приложение №2 к Документации о закупке)</w:t>
            </w:r>
          </w:p>
        </w:tc>
      </w:tr>
    </w:tbl>
    <w:p>
      <w:pPr>
        <w:pStyle w:val="Style16"/>
        <w:spacing w:before="0" w:after="0"/>
        <w:rPr/>
      </w:pPr>
      <w:bookmarkStart w:id="60" w:name="_Ref125360337"/>
      <w:bookmarkStart w:id="61" w:name="_Ref125360073"/>
      <w:bookmarkStart w:id="62" w:name="_Toc230928830"/>
      <w:r>
        <w:rPr/>
        <w:t>Общие положения</w:t>
      </w:r>
      <w:bookmarkEnd w:id="60"/>
      <w:bookmarkEnd w:id="61"/>
      <w:bookmarkEnd w:id="62"/>
    </w:p>
    <w:p>
      <w:pPr>
        <w:pStyle w:val="Style17"/>
        <w:spacing w:before="360" w:after="0"/>
        <w:rPr/>
      </w:pPr>
      <w:bookmarkStart w:id="63" w:name="_Toc230928831"/>
      <w:r>
        <w:rPr/>
        <w:t>Общие сведения о закупке</w:t>
      </w:r>
      <w:bookmarkEnd w:id="63"/>
    </w:p>
    <w:p>
      <w:pPr>
        <w:pStyle w:val="Style18"/>
        <w:spacing w:before="120" w:after="0"/>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18"/>
        <w:spacing w:before="0" w:after="0"/>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18"/>
        <w:spacing w:before="0" w:after="0"/>
        <w:rPr/>
      </w:pPr>
      <w:r>
        <w:rPr/>
        <w:t xml:space="preserve">Требования к поставляемой продукции, включая срок, объем и место поставки продукции, изложены в </w:t>
      </w:r>
      <w:hyperlink w:anchor="Прил01_ТехТребования" w:tgtFrame="#Прил01_ТехТребования">
        <w:r>
          <w:rPr>
            <w:rStyle w:val="Style6"/>
          </w:rPr>
          <w:t>Технических требованиях (Приложение № 1)</w:t>
        </w:r>
      </w:hyperlink>
      <w:r>
        <w:rPr/>
        <w:t xml:space="preserve">. </w:t>
      </w:r>
      <w:hyperlink w:anchor="Прил02_ПроектДоговора" w:tgtFrame="#Прил02_ПроектДоговора">
        <w:r>
          <w:rPr>
            <w:rStyle w:val="Style6"/>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tgtFrame="#Прил02_ПроектДоговора">
        <w:r>
          <w:rPr>
            <w:rStyle w:val="Style6"/>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tgtFrame="#Прил04_ФормыЗаявки">
        <w:r>
          <w:rPr>
            <w:rStyle w:val="Style6"/>
          </w:rPr>
          <w:t>Приложение № 4</w:t>
        </w:r>
      </w:hyperlink>
      <w:r>
        <w:rPr/>
        <w:t>)).</w:t>
      </w:r>
    </w:p>
    <w:p>
      <w:pPr>
        <w:pStyle w:val="Style18"/>
        <w:spacing w:before="0" w:after="0"/>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tgtFrame="#Прил04_ФормыЗаявки">
        <w:r>
          <w:rPr>
            <w:rStyle w:val="Style6"/>
          </w:rPr>
          <w:t>№ 4</w:t>
        </w:r>
      </w:hyperlink>
      <w:r>
        <w:rPr/>
        <w:t xml:space="preserve">, </w:t>
      </w:r>
      <w:hyperlink w:anchor="Прил05_ФормыПобедителя" w:tgtFrame="#Прил05_ФормыПобедителя">
        <w:r>
          <w:rPr>
            <w:rStyle w:val="Style6"/>
          </w:rPr>
          <w:t>№ 5</w:t>
        </w:r>
      </w:hyperlink>
      <w:r>
        <w:rPr/>
        <w:t>.</w:t>
      </w:r>
    </w:p>
    <w:p>
      <w:pPr>
        <w:pStyle w:val="Style17"/>
        <w:spacing w:before="360" w:after="0"/>
        <w:rPr/>
      </w:pPr>
      <w:bookmarkStart w:id="64" w:name="_Toc230928832"/>
      <w:r>
        <w:rPr/>
        <w:t>Правовой статус документов</w:t>
      </w:r>
      <w:bookmarkEnd w:id="64"/>
    </w:p>
    <w:p>
      <w:pPr>
        <w:pStyle w:val="Style18"/>
        <w:spacing w:before="120" w:after="0"/>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18"/>
        <w:spacing w:before="0" w:after="0"/>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18"/>
        <w:keepNext w:val="true"/>
        <w:spacing w:before="0" w:after="0"/>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5"/>
      <w:r>
        <w:rPr/>
        <w:t>.</w:t>
      </w:r>
    </w:p>
    <w:p>
      <w:pPr>
        <w:pStyle w:val="Style18"/>
        <w:spacing w:before="0" w:after="0"/>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18"/>
        <w:spacing w:before="0" w:after="0"/>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18"/>
        <w:spacing w:before="0" w:after="0"/>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18"/>
        <w:spacing w:before="0" w:after="0"/>
        <w:rPr/>
      </w:pPr>
      <w:r>
        <w:rPr/>
        <w:t>Иные документы Организатора и Участников не определяют права и обязанности сторон в связи с данной закупкой.</w:t>
      </w:r>
    </w:p>
    <w:p>
      <w:pPr>
        <w:pStyle w:val="Style18"/>
        <w:spacing w:before="0" w:after="0"/>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17"/>
        <w:spacing w:before="360" w:after="0"/>
        <w:rPr/>
      </w:pPr>
      <w:bookmarkStart w:id="66" w:name="_Toc230928833"/>
      <w:bookmarkStart w:id="67" w:name="_Ref125363536"/>
      <w:r>
        <w:rPr/>
        <w:t>Обжалование</w:t>
      </w:r>
      <w:bookmarkEnd w:id="66"/>
      <w:bookmarkEnd w:id="67"/>
    </w:p>
    <w:p>
      <w:pPr>
        <w:pStyle w:val="Style18"/>
        <w:spacing w:before="120" w:after="0"/>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18"/>
        <w:spacing w:before="0" w:after="0"/>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18"/>
        <w:keepNext w:val="true"/>
        <w:spacing w:before="0" w:after="0"/>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19"/>
        <w:spacing w:before="120" w:after="0"/>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19"/>
        <w:spacing w:before="0" w:after="0"/>
        <w:rPr/>
      </w:pPr>
      <w:r>
        <w:rPr/>
        <w:t>признать заявление Участника необоснованным.</w:t>
      </w:r>
    </w:p>
    <w:p>
      <w:pPr>
        <w:pStyle w:val="Style18"/>
        <w:spacing w:before="120" w:after="0"/>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18"/>
        <w:spacing w:before="0" w:after="0"/>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19"/>
        <w:spacing w:before="120" w:after="0"/>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19"/>
        <w:spacing w:before="0" w:after="0"/>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Красноярского края.</w:t>
      </w:r>
    </w:p>
    <w:p>
      <w:pPr>
        <w:pStyle w:val="Style22"/>
        <w:ind w:left="1134" w:hanging="0"/>
        <w:rPr/>
      </w:pPr>
      <w:r>
        <w:rPr/>
        <w:t>Закупочная комиссия определяется в соответствии с Положением о закупке.</w:t>
      </w:r>
    </w:p>
    <w:p>
      <w:pPr>
        <w:pStyle w:val="Style17"/>
        <w:spacing w:before="360" w:after="0"/>
        <w:rPr/>
      </w:pPr>
      <w:bookmarkStart w:id="68" w:name="_Toc230928834"/>
      <w:bookmarkStart w:id="69" w:name="_Ref125472658"/>
      <w:r>
        <w:rPr/>
        <w:t>Особые положения при проведении закупки с использованием ЭП</w:t>
      </w:r>
      <w:bookmarkEnd w:id="68"/>
      <w:bookmarkEnd w:id="69"/>
    </w:p>
    <w:p>
      <w:pPr>
        <w:pStyle w:val="Style18"/>
        <w:spacing w:before="120" w:after="0"/>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18"/>
        <w:spacing w:before="0" w:after="0"/>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18"/>
        <w:spacing w:before="0" w:after="0"/>
        <w:rPr/>
      </w:pPr>
      <w:bookmarkStart w:id="70"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0"/>
    </w:p>
    <w:p>
      <w:pPr>
        <w:pStyle w:val="Style18"/>
        <w:spacing w:before="0" w:after="0"/>
        <w:rPr/>
      </w:pPr>
      <w:bookmarkStart w:id="71"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1"/>
    </w:p>
    <w:p>
      <w:pPr>
        <w:pStyle w:val="Style17"/>
        <w:spacing w:before="360" w:after="0"/>
        <w:rPr/>
      </w:pPr>
      <w:bookmarkStart w:id="72" w:name="_Toc230928835"/>
      <w:r>
        <w:rPr/>
        <w:t>Прочие положения</w:t>
      </w:r>
      <w:bookmarkEnd w:id="72"/>
    </w:p>
    <w:p>
      <w:pPr>
        <w:pStyle w:val="Style18"/>
        <w:spacing w:before="120" w:after="0"/>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18"/>
        <w:spacing w:before="0" w:after="0"/>
        <w:rPr/>
      </w:pPr>
      <w:bookmarkStart w:id="73"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3"/>
    </w:p>
    <w:p>
      <w:pPr>
        <w:pStyle w:val="Style18"/>
        <w:spacing w:before="0" w:after="0"/>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16"/>
        <w:spacing w:before="0" w:after="0"/>
        <w:rPr/>
      </w:pPr>
      <w:bookmarkStart w:id="74" w:name="_Toc230928836"/>
      <w:bookmarkStart w:id="75" w:name="_Ref125361210"/>
      <w:r>
        <w:rPr/>
        <w:t>Требования к Участникам</w:t>
      </w:r>
      <w:bookmarkEnd w:id="74"/>
      <w:bookmarkEnd w:id="75"/>
    </w:p>
    <w:p>
      <w:pPr>
        <w:pStyle w:val="Style17"/>
        <w:spacing w:before="360" w:after="0"/>
        <w:rPr/>
      </w:pPr>
      <w:bookmarkStart w:id="76" w:name="_Toc230928837"/>
      <w:bookmarkStart w:id="77" w:name="_Ref127524530"/>
      <w:r>
        <w:rPr/>
        <w:t>Общие требования к Участникам</w:t>
      </w:r>
      <w:bookmarkEnd w:id="76"/>
      <w:bookmarkEnd w:id="77"/>
    </w:p>
    <w:p>
      <w:pPr>
        <w:pStyle w:val="Style18"/>
        <w:spacing w:before="120" w:after="0"/>
        <w:rPr/>
      </w:pPr>
      <w:bookmarkStart w:id="78"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78"/>
    </w:p>
    <w:p>
      <w:pPr>
        <w:pStyle w:val="Style18"/>
        <w:spacing w:before="0" w:after="0"/>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18"/>
        <w:spacing w:before="0" w:after="0"/>
        <w:rPr/>
      </w:pPr>
      <w:r>
        <w:rPr/>
        <w:t xml:space="preserve">Требования к Участникам установлены с учетом предмета договора, </w:t>
      </w:r>
      <w:hyperlink w:anchor="Прил01_ТехТребования" w:tgtFrame="#Прил01_ТехТребования">
        <w:r>
          <w:rPr>
            <w:rStyle w:val="Style6"/>
          </w:rPr>
          <w:t>Технических требований (Приложение № 1)</w:t>
        </w:r>
      </w:hyperlink>
      <w:r>
        <w:rPr/>
        <w:t xml:space="preserve"> и </w:t>
      </w:r>
      <w:hyperlink w:anchor="Прил02_ПроектДоговора" w:tgtFrame="#Прил02_ПроектДоговора">
        <w:r>
          <w:rPr>
            <w:rStyle w:val="Style6"/>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tgtFrame="#Прил04_ФормыЗаявки">
        <w:r>
          <w:rPr>
            <w:rStyle w:val="Style6"/>
          </w:rPr>
          <w:t>Приложение № 4</w:t>
        </w:r>
      </w:hyperlink>
      <w:r>
        <w:rPr/>
        <w:t>)).</w:t>
      </w:r>
    </w:p>
    <w:p>
      <w:pPr>
        <w:pStyle w:val="Style18"/>
        <w:keepNext w:val="true"/>
        <w:spacing w:before="0" w:after="0"/>
        <w:rPr/>
      </w:pPr>
      <w:r>
        <w:rPr/>
        <w:t>Установлены следующие требования к Участникам, которые приведены в </w:t>
      </w:r>
      <w:hyperlink w:anchor="Прил03_ТребованияУчастникам" w:tgtFrame="#Прил03_ТребованияУчастникам">
        <w:r>
          <w:rPr>
            <w:rStyle w:val="Style6"/>
          </w:rPr>
          <w:t>Приложении № 3</w:t>
        </w:r>
      </w:hyperlink>
      <w:r>
        <w:rPr/>
        <w:t>:</w:t>
      </w:r>
    </w:p>
    <w:p>
      <w:pPr>
        <w:pStyle w:val="Style19"/>
        <w:spacing w:before="120" w:after="0"/>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19"/>
        <w:spacing w:before="0" w:after="0"/>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19"/>
        <w:spacing w:before="0" w:after="0"/>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18"/>
        <w:keepNext w:val="true"/>
        <w:spacing w:before="120" w:after="0"/>
        <w:rPr/>
      </w:pPr>
      <w:r>
        <w:rPr/>
        <w:t>В рамках требований к Участникам могут быть установлены дополнительные требования:</w:t>
      </w:r>
    </w:p>
    <w:p>
      <w:pPr>
        <w:pStyle w:val="Style19"/>
        <w:spacing w:before="120" w:after="0"/>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19"/>
        <w:spacing w:before="0" w:after="0"/>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19"/>
        <w:spacing w:before="0" w:after="0"/>
        <w:rPr/>
      </w:pPr>
      <w:r>
        <w:rPr/>
        <w:t>к привлечению субподрядчиков (соисполнителей) из числа субъектов МСП (подраздел </w:t>
      </w:r>
      <w:r>
        <w:rPr/>
        <w:fldChar w:fldCharType="begin"/>
      </w:r>
      <w:r>
        <w:rPr/>
        <w:instrText xml:space="preserve"> REF _Ref127524203 \r \h </w:instrText>
      </w:r>
      <w:r>
        <w:rPr/>
        <w:fldChar w:fldCharType="separate"/>
      </w:r>
      <w:r>
        <w:rPr/>
        <w:t>3.4</w:t>
      </w:r>
      <w:r>
        <w:rPr/>
        <w:fldChar w:fldCharType="end"/>
      </w:r>
      <w:r>
        <w:rPr/>
        <w:t>).</w:t>
      </w:r>
    </w:p>
    <w:p>
      <w:pPr>
        <w:pStyle w:val="Style18"/>
        <w:spacing w:before="120" w:after="0"/>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tgtFrame="#Прил03_ТребованияУчастникам">
        <w:r>
          <w:rPr>
            <w:rStyle w:val="Style6"/>
          </w:rPr>
          <w:t>Требованиях к Участникам (Приложение № 3)</w:t>
        </w:r>
      </w:hyperlink>
      <w:r>
        <w:rPr/>
        <w:t>, если иное не установлено в Документации о закупке.</w:t>
      </w:r>
    </w:p>
    <w:p>
      <w:pPr>
        <w:pStyle w:val="Style17"/>
        <w:spacing w:before="360" w:after="0"/>
        <w:rPr/>
      </w:pPr>
      <w:bookmarkStart w:id="79" w:name="_Ref125361976"/>
      <w:bookmarkStart w:id="80" w:name="_Ref130308203"/>
      <w:bookmarkStart w:id="81" w:name="_Ref125361969"/>
      <w:bookmarkStart w:id="82" w:name="_Toc230928838"/>
      <w:bookmarkStart w:id="83" w:name="_Ref130308111"/>
      <w:bookmarkStart w:id="84" w:name="_Ref130308062"/>
      <w:bookmarkStart w:id="85" w:name="_Ref130305355"/>
      <w:bookmarkStart w:id="86" w:name="_Ref130308255"/>
      <w:r>
        <w:rPr/>
        <w:t>Коллективные участники</w:t>
      </w:r>
      <w:bookmarkEnd w:id="79"/>
      <w:bookmarkEnd w:id="80"/>
      <w:bookmarkEnd w:id="81"/>
      <w:bookmarkEnd w:id="82"/>
      <w:bookmarkEnd w:id="83"/>
      <w:bookmarkEnd w:id="84"/>
      <w:bookmarkEnd w:id="85"/>
      <w:bookmarkEnd w:id="86"/>
    </w:p>
    <w:p>
      <w:pPr>
        <w:pStyle w:val="Style18"/>
        <w:spacing w:before="120" w:after="0"/>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18"/>
        <w:spacing w:before="0" w:after="0"/>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tgtFrame="#Прил03_ТребованияУчастникам">
        <w:r>
          <w:rPr>
            <w:rStyle w:val="Style6"/>
          </w:rPr>
          <w:t>Требований к Участникам (Приложение № 3)</w:t>
        </w:r>
      </w:hyperlink>
      <w:r>
        <w:rPr/>
        <w:t>.</w:t>
      </w:r>
    </w:p>
    <w:p>
      <w:pPr>
        <w:pStyle w:val="Style18"/>
        <w:keepNext w:val="true"/>
        <w:spacing w:before="0" w:after="0"/>
        <w:rPr/>
      </w:pPr>
      <w:bookmarkStart w:id="87" w:name="_Ref125366972"/>
      <w:r>
        <w:rPr/>
        <w:t>Члены Коллективного участника заключают между собой соглашение, соответствующее нормам ГК РФ, и отвечающее следующим требованиям:</w:t>
      </w:r>
      <w:bookmarkEnd w:id="87"/>
    </w:p>
    <w:p>
      <w:pPr>
        <w:pStyle w:val="Style19"/>
        <w:spacing w:before="120" w:after="0"/>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19"/>
        <w:spacing w:before="0" w:after="0"/>
        <w:rPr/>
      </w:pPr>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19"/>
        <w:spacing w:before="0" w:after="0"/>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процессе участия в закупке, заключения и последующего исполнения Договора;</w:t>
      </w:r>
    </w:p>
    <w:p>
      <w:pPr>
        <w:pStyle w:val="Style19"/>
        <w:spacing w:before="0" w:after="0"/>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19"/>
        <w:spacing w:before="0" w:after="0"/>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19"/>
        <w:spacing w:before="0" w:after="0"/>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18"/>
        <w:spacing w:before="120" w:after="0"/>
        <w:rPr/>
      </w:pPr>
      <w:r>
        <w:rPr/>
        <w:t>Заявка подготавливается и подается лидером от своего имени со ссылкой в Письме о подаче оферты (форма 2) (</w:t>
      </w:r>
      <w:hyperlink w:anchor="Прил04_ФормыЗаявки" w:tgtFrame="#Прил04_ФормыЗаявки">
        <w:r>
          <w:rPr>
            <w:rStyle w:val="Style6"/>
          </w:rPr>
          <w:t>Приложение № 4</w:t>
        </w:r>
      </w:hyperlink>
      <w:r>
        <w:rPr/>
        <w:t>) на то, что он представляет интересы Коллективного участника.</w:t>
      </w:r>
    </w:p>
    <w:p>
      <w:pPr>
        <w:pStyle w:val="Style18"/>
        <w:spacing w:before="0" w:after="0"/>
        <w:rPr/>
      </w:pPr>
      <w:bookmarkStart w:id="88"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88"/>
    </w:p>
    <w:p>
      <w:pPr>
        <w:pStyle w:val="Style18"/>
        <w:spacing w:before="0" w:after="0"/>
        <w:rPr/>
      </w:pPr>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каждого из членов Коллективного участника, которым в соответствии с Планом распределения объемов поставки продукции (форма 10) (</w:t>
      </w:r>
      <w:hyperlink w:anchor="Прил04_ФормыЗаявки" w:tgtFrame="#Прил04_ФормыЗаявки">
        <w:r>
          <w:rPr>
            <w:rStyle w:val="Style6"/>
          </w:rPr>
          <w:t>Приложение № 4</w:t>
        </w:r>
      </w:hyperlink>
      <w:r>
        <w:rPr/>
        <w:t>) будет поручена непосредственная поставка продукции, требующая наличия необходимого статуса в соответствии с законодательством (для членства в саморегулируемых организациях – с уровнем ответственности соответствующего члена Коллективного участника пропорционально заявляемому объему поставки продукции).</w:t>
      </w:r>
    </w:p>
    <w:p>
      <w:pPr>
        <w:pStyle w:val="Style18"/>
        <w:spacing w:before="0" w:after="0"/>
        <w:rPr/>
      </w:pPr>
      <w:bookmarkStart w:id="89" w:name="_Ref134705077"/>
      <w:r>
        <w:rPr/>
        <w:t>При рассмотрении и оценке Коллективного участника на соответствие квалификационным требованиям (подраздел </w:t>
      </w:r>
      <w:r>
        <w:rPr/>
        <w:fldChar w:fldCharType="begin"/>
      </w:r>
      <w:r>
        <w:rPr/>
        <w:instrText xml:space="preserve"> REF _Ref125550270 \r \h </w:instrText>
      </w:r>
      <w:r>
        <w:rPr/>
        <w:fldChar w:fldCharType="separate"/>
      </w:r>
      <w:r>
        <w:rPr/>
        <w:t>8.4</w:t>
      </w:r>
      <w:r>
        <w:rPr/>
        <w:fldChar w:fldCharType="end"/>
      </w:r>
      <w:r>
        <w:rPr/>
        <w:t>), параметры деятельности членов Коллективного участника, такие как наличие требуемого опыта, обеспеченность материально-техническими ресурсами и кадровыми ресурсами, суммируются по каждому такому показателю (Коллективный участник должен в совокупности отвечать установленным квалификационным требованиям по каждому показателю).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anchor="Прил04_ФормыЗаявки" w:tgtFrame="#Прил04_ФормыЗаявки">
        <w:r>
          <w:rPr>
            <w:rStyle w:val="Style6"/>
          </w:rPr>
          <w:t>Приложение № 4</w:t>
        </w:r>
      </w:hyperlink>
      <w:r>
        <w:rPr/>
        <w:t>) будет поручена непосредственная поставка продукции, требующая наличия указанного опыта.</w:t>
      </w:r>
      <w:bookmarkEnd w:id="89"/>
    </w:p>
    <w:p>
      <w:pPr>
        <w:pStyle w:val="Style18"/>
        <w:keepNext w:val="true"/>
        <w:spacing w:before="0" w:after="0"/>
        <w:rPr/>
      </w:pPr>
      <w:bookmarkStart w:id="90"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0"/>
    </w:p>
    <w:p>
      <w:pPr>
        <w:pStyle w:val="Style19"/>
        <w:spacing w:before="120" w:after="0"/>
        <w:rPr/>
      </w:pPr>
      <w:r>
        <w:rPr/>
        <w:t>принимать участие в этой же закупке самостоятельно;</w:t>
      </w:r>
    </w:p>
    <w:p>
      <w:pPr>
        <w:pStyle w:val="Style19"/>
        <w:spacing w:before="0" w:after="0"/>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2"/>
        <w:ind w:left="1134" w:hanging="0"/>
        <w:rPr/>
      </w:pPr>
      <w:r>
        <w:rPr/>
        <w:t>В случае невыполнения данного требования все заявки с участием таких лиц будут отклонены.</w:t>
      </w:r>
    </w:p>
    <w:p>
      <w:pPr>
        <w:pStyle w:val="Style18"/>
        <w:spacing w:before="120" w:after="0"/>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tgtFrame="#Прил03_ТребованияУчастникам">
        <w:r>
          <w:rPr>
            <w:rStyle w:val="Style6"/>
          </w:rPr>
          <w:t>Приложение № 3</w:t>
        </w:r>
      </w:hyperlink>
      <w:r>
        <w:rPr>
          <w:rStyle w:val="Style6"/>
        </w:rPr>
        <w:t>)</w:t>
      </w:r>
      <w:r>
        <w:rPr/>
        <w:t>, а также при несоблюдении вышеуказанных норм настоящего подраздела, заявка такого Коллективного участника отклоняется.</w:t>
      </w:r>
    </w:p>
    <w:p>
      <w:pPr>
        <w:pStyle w:val="Style18"/>
        <w:spacing w:before="0" w:after="0"/>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18"/>
        <w:spacing w:before="0" w:after="0"/>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17"/>
        <w:spacing w:before="360" w:after="0"/>
        <w:rPr/>
      </w:pPr>
      <w:bookmarkStart w:id="91" w:name="_Toc230928839"/>
      <w:bookmarkStart w:id="92" w:name="_Ref125361702"/>
      <w:r>
        <w:rPr/>
        <w:t>Генеральные подрядчики</w:t>
      </w:r>
      <w:bookmarkEnd w:id="91"/>
      <w:bookmarkEnd w:id="92"/>
    </w:p>
    <w:p>
      <w:pPr>
        <w:pStyle w:val="Style18"/>
        <w:spacing w:before="120" w:after="0"/>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18"/>
        <w:spacing w:before="0" w:after="0"/>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tgtFrame="#Прил03_ТребованияУчастникам">
        <w:r>
          <w:rPr>
            <w:rStyle w:val="Style6"/>
          </w:rPr>
          <w:t>Требований к Участникам (Приложение № 3)</w:t>
        </w:r>
      </w:hyperlink>
      <w:r>
        <w:rPr/>
        <w:t>.</w:t>
      </w:r>
    </w:p>
    <w:p>
      <w:pPr>
        <w:pStyle w:val="Style18"/>
        <w:keepNext w:val="true"/>
        <w:spacing w:before="0" w:after="0"/>
        <w:rPr/>
      </w:pPr>
      <w:r>
        <w:rPr/>
        <w:t>Генеральный подрядчик:</w:t>
      </w:r>
    </w:p>
    <w:p>
      <w:pPr>
        <w:pStyle w:val="Style19"/>
        <w:spacing w:before="120" w:after="0"/>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19"/>
        <w:spacing w:before="0" w:after="0"/>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19"/>
        <w:spacing w:before="0" w:after="0"/>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10) (</w:t>
      </w:r>
      <w:hyperlink w:anchor="Прил04_ФормыЗаявки" w:tgtFrame="#Прил04_ФормыЗаявки">
        <w:r>
          <w:rPr>
            <w:rStyle w:val="Style6"/>
          </w:rPr>
          <w:t>Приложение № 4</w:t>
        </w:r>
      </w:hyperlink>
      <w:r>
        <w:rPr/>
        <w:t>).</w:t>
      </w:r>
    </w:p>
    <w:p>
      <w:pPr>
        <w:pStyle w:val="Style18"/>
        <w:keepNext w:val="true"/>
        <w:spacing w:before="120" w:after="0"/>
        <w:rPr/>
      </w:pPr>
      <w:r>
        <w:rPr/>
        <w:t>Каждый субподрядчик из привлекаемых Генеральным подрядчиком должен отвечать:</w:t>
      </w:r>
    </w:p>
    <w:p>
      <w:pPr>
        <w:pStyle w:val="Style19"/>
        <w:spacing w:before="120" w:after="0"/>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19"/>
        <w:spacing w:before="0" w:after="0"/>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19"/>
        <w:spacing w:before="0" w:after="0"/>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22"/>
        <w:ind w:left="1134" w:hanging="0"/>
        <w:rPr/>
      </w:pPr>
      <w:bookmarkStart w:id="93"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93"/>
      <w:r>
        <w:rPr/>
        <w:t>в соответствии с Планом распределения объемов поставки продукции (форма 10) (</w:t>
      </w:r>
      <w:hyperlink w:anchor="Прил04_ФормыЗаявки" w:tgtFrame="#Прил04_ФормыЗаявки">
        <w:r>
          <w:rPr>
            <w:rStyle w:val="Style6"/>
          </w:rPr>
          <w:t>Приложение № 4</w:t>
        </w:r>
      </w:hyperlink>
      <w:r>
        <w:rPr/>
        <w:t>).</w:t>
      </w:r>
    </w:p>
    <w:p>
      <w:pPr>
        <w:pStyle w:val="Style18"/>
        <w:spacing w:before="120" w:after="0"/>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tgtFrame="#Прил08_ПорядокОценки">
        <w:r>
          <w:rPr>
            <w:rStyle w:val="Style6"/>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18"/>
        <w:spacing w:before="0" w:after="0"/>
        <w:rPr/>
      </w:pPr>
      <w:bookmarkStart w:id="94"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w:t>
      </w:r>
      <w:bookmarkEnd w:id="94"/>
    </w:p>
    <w:p>
      <w:pPr>
        <w:pStyle w:val="Style18"/>
        <w:spacing w:before="0" w:after="0"/>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tgtFrame="#Прил03_ТребованияУчастникам">
        <w:r>
          <w:rPr>
            <w:rStyle w:val="Style6"/>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17"/>
        <w:spacing w:before="360" w:after="0"/>
        <w:rPr/>
      </w:pPr>
      <w:bookmarkStart w:id="95" w:name="_Toc230928840"/>
      <w:bookmarkStart w:id="96" w:name="_Ref127524203"/>
      <w:r>
        <w:rPr/>
        <w:t>Привлечение субподрядчиков (соисполнителей) из числа субъектов МСП</w:t>
      </w:r>
      <w:bookmarkEnd w:id="95"/>
      <w:bookmarkEnd w:id="96"/>
    </w:p>
    <w:p>
      <w:pPr>
        <w:pStyle w:val="Style18"/>
        <w:spacing w:before="120" w:after="0"/>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по привлечению к исполнению Договора субподрядчиков (соисполнителей) из числа субъектов МСП.</w:t>
      </w:r>
    </w:p>
    <w:p>
      <w:pPr>
        <w:pStyle w:val="Style18"/>
        <w:spacing w:before="0" w:after="0"/>
        <w:rPr/>
      </w:pPr>
      <w:r>
        <w:rPr/>
        <w:t>Помимо требований настоящего подраздела, Участник также должен выполнить требования к дополнительным документам, предоставляемым им в составе заявки, установленные в подразделе </w:t>
      </w:r>
      <w:r>
        <w:rPr/>
        <w:fldChar w:fldCharType="begin"/>
      </w:r>
      <w:r>
        <w:rPr/>
        <w:instrText xml:space="preserve"> REF _Ref125550523 \r \h </w:instrText>
      </w:r>
      <w:r>
        <w:rPr/>
        <w:fldChar w:fldCharType="separate"/>
      </w:r>
      <w:r>
        <w:rPr/>
        <w:t>8.7</w:t>
      </w:r>
      <w:r>
        <w:rPr/>
        <w:fldChar w:fldCharType="end"/>
      </w:r>
      <w:r>
        <w:rPr/>
        <w:t xml:space="preserve"> </w:t>
      </w:r>
      <w:hyperlink w:anchor="Прил03_ТребованияУчастникам" w:tgtFrame="#Прил03_ТребованияУчастникам">
        <w:r>
          <w:rPr>
            <w:rStyle w:val="Style6"/>
          </w:rPr>
          <w:t>Требований к Участникам (Приложение № 3)</w:t>
        </w:r>
      </w:hyperlink>
      <w:r>
        <w:rPr/>
        <w:t>. При этом в Плане распределения объемов поставки продукции (форма 10) (</w:t>
      </w:r>
      <w:hyperlink w:anchor="Прил04_ФормыЗаявки" w:tgtFrame="#Прил04_ФормыЗаявки">
        <w:r>
          <w:rPr>
            <w:rStyle w:val="Style6"/>
          </w:rPr>
          <w:t>Приложение № 4</w:t>
        </w:r>
      </w:hyperlink>
      <w:r>
        <w:rPr/>
        <w:t>) Участник должен указать привлекаемых им субподрядчиков (соисполнителей) из числа субъектов МСП, а также является ли самостоятельно Участник субъектом МСП.</w:t>
      </w:r>
    </w:p>
    <w:p>
      <w:pPr>
        <w:pStyle w:val="Style18"/>
        <w:spacing w:before="0" w:after="0"/>
        <w:rPr/>
      </w:pPr>
      <w:r>
        <w:rPr/>
        <w:t>При этом требования подраздела </w:t>
      </w:r>
      <w:r>
        <w:rPr/>
        <w:fldChar w:fldCharType="begin"/>
      </w:r>
      <w:r>
        <w:rPr/>
        <w:instrText xml:space="preserve"> REF _Ref125550523 \r \h </w:instrText>
      </w:r>
      <w:r>
        <w:rPr/>
        <w:fldChar w:fldCharType="separate"/>
      </w:r>
      <w:r>
        <w:rPr/>
        <w:t>8.7</w:t>
      </w:r>
      <w:r>
        <w:rPr/>
        <w:fldChar w:fldCharType="end"/>
      </w:r>
      <w:r>
        <w:rPr/>
        <w:t xml:space="preserve"> </w:t>
      </w:r>
      <w:hyperlink w:anchor="Прил03_ТребованияУчастникам" w:tgtFrame="#Прил03_ТребованияУчастникам">
        <w:r>
          <w:rPr>
            <w:rStyle w:val="Style6"/>
          </w:rPr>
          <w:t>Требований к Участникам (Приложение № 3)</w:t>
        </w:r>
      </w:hyperlink>
      <w:r>
        <w:rPr/>
        <w:t xml:space="preserve"> применяются вне зависимости от порядка рассмотрения и оценки заявок участников, являющихся Генеральными подрядчиками (с учетом субподрядчиков, или без учета субподрядчиков) (подраздел </w:t>
      </w:r>
      <w:r>
        <w:rPr/>
        <w:fldChar w:fldCharType="begin"/>
      </w:r>
      <w:r>
        <w:rPr/>
        <w:instrText xml:space="preserve"> REF _Ref125361702 \r \h </w:instrText>
      </w:r>
      <w:r>
        <w:rPr/>
        <w:fldChar w:fldCharType="separate"/>
      </w:r>
      <w:r>
        <w:rPr/>
        <w:t>3.3</w:t>
      </w:r>
      <w:r>
        <w:rPr/>
        <w:fldChar w:fldCharType="end"/>
      </w:r>
      <w:r>
        <w:rPr/>
        <w:t>).</w:t>
      </w:r>
    </w:p>
    <w:p>
      <w:pPr>
        <w:pStyle w:val="Style18"/>
        <w:spacing w:before="0" w:after="0"/>
        <w:rPr/>
      </w:pPr>
      <w:bookmarkStart w:id="97" w:name="_Ref125473377"/>
      <w:r>
        <w:rPr/>
        <w:t>Участник считается выполнившим требование по привлечению к исполнению Договора субподрядчиков (соисполнителей) из числа субъектов МСП, при условии предоставления информации, указанной в Плане распределения объемов поставки продукции (форма 10) (</w:t>
      </w:r>
      <w:hyperlink w:anchor="Прил04_ФормыЗаявки" w:tgtFrame="#Прил04_ФормыЗаявки">
        <w:r>
          <w:rPr>
            <w:rStyle w:val="Style6"/>
          </w:rPr>
          <w:t>Приложение № 4</w:t>
        </w:r>
      </w:hyperlink>
      <w:r>
        <w:rPr/>
        <w:t>).</w:t>
      </w:r>
      <w:bookmarkEnd w:id="97"/>
      <w:r>
        <w:rPr/>
        <w:t xml:space="preserve"> В случае непредоставления этой 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18"/>
        <w:spacing w:before="0" w:after="0"/>
        <w:rPr/>
      </w:pPr>
      <w:r>
        <w:rPr/>
        <w:t>Если привлекаемые субъекты МСП входят в состав Коллективного участника (подраздел </w:t>
      </w:r>
      <w:r>
        <w:rPr/>
        <w:fldChar w:fldCharType="begin"/>
      </w:r>
      <w:r>
        <w:rPr/>
        <w:instrText xml:space="preserve"> REF _Ref130308255 \r \h </w:instrText>
      </w:r>
      <w:r>
        <w:rPr/>
        <w:fldChar w:fldCharType="separate"/>
      </w:r>
      <w:r>
        <w:rPr/>
        <w:t>3.2</w:t>
      </w:r>
      <w:r>
        <w:rPr/>
        <w:fldChar w:fldCharType="end"/>
      </w:r>
      <w:r>
        <w:rPr/>
        <w:t>), то объем исполнения Договора таким Коллективным участником засчитывается в исполнение требования по привлечению субъектов МСП в качестве субподрядчиков (соисполнителей), при условии выполнения остальных требований настоящего подраздела.</w:t>
      </w:r>
    </w:p>
    <w:p>
      <w:pPr>
        <w:pStyle w:val="Style16"/>
        <w:spacing w:before="0" w:after="0"/>
        <w:rPr/>
      </w:pPr>
      <w:bookmarkStart w:id="98" w:name="_Ref125367098"/>
      <w:bookmarkStart w:id="99" w:name="_Ref125361211"/>
      <w:bookmarkStart w:id="100" w:name="_Toc230928841"/>
      <w:bookmarkStart w:id="101" w:name="_Ref125367974"/>
      <w:bookmarkStart w:id="102" w:name="_Ref125367107"/>
      <w:r>
        <w:rPr/>
        <w:t>Порядок проведения закупки</w:t>
      </w:r>
      <w:bookmarkEnd w:id="98"/>
      <w:bookmarkEnd w:id="99"/>
      <w:bookmarkEnd w:id="100"/>
      <w:bookmarkEnd w:id="101"/>
      <w:bookmarkEnd w:id="102"/>
    </w:p>
    <w:p>
      <w:pPr>
        <w:pStyle w:val="Style17"/>
        <w:spacing w:before="360" w:after="0"/>
        <w:rPr/>
      </w:pPr>
      <w:bookmarkStart w:id="103" w:name="_Toc230928842"/>
      <w:bookmarkStart w:id="104" w:name="_Ref126141932"/>
      <w:r>
        <w:rPr/>
        <w:t>Общий порядок проведения закупки</w:t>
      </w:r>
      <w:bookmarkEnd w:id="103"/>
      <w:bookmarkEnd w:id="104"/>
    </w:p>
    <w:p>
      <w:pPr>
        <w:pStyle w:val="Style18"/>
        <w:keepNext w:val="true"/>
        <w:spacing w:before="120" w:after="120"/>
        <w:rPr/>
      </w:pPr>
      <w:r>
        <w:rPr/>
        <w:t>Закупка проводится в следующем порядке:</w:t>
      </w:r>
    </w:p>
    <w:tbl>
      <w:tblPr>
        <w:tblStyle w:val="1518"/>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2221"/>
        <w:gridCol w:w="1109"/>
        <w:gridCol w:w="1112"/>
        <w:gridCol w:w="2226"/>
        <w:gridCol w:w="2409"/>
        <w:gridCol w:w="2267"/>
        <w:gridCol w:w="2230"/>
      </w:tblGrid>
      <w:tr>
        <w:trPr/>
        <w:tc>
          <w:tcPr>
            <w:tcW w:w="428" w:type="dxa"/>
            <w:tcBorders>
              <w:left w:val="nil"/>
            </w:tcBorders>
            <w:vAlign w:val="bottom"/>
          </w:tcPr>
          <w:p>
            <w:pPr>
              <w:pStyle w:val="Style22"/>
              <w:keepNext w:val="true"/>
              <w:keepLines w:val="false"/>
              <w:widowControl w:val="false"/>
              <w:spacing w:lineRule="auto" w:line="240" w:before="40" w:after="40"/>
              <w:jc w:val="center"/>
              <w:rPr>
                <w:b w:val="false"/>
                <w:bCs/>
                <w:sz w:val="24"/>
                <w:szCs w:val="24"/>
              </w:rPr>
            </w:pPr>
            <w:r>
              <w:rPr>
                <w:rFonts w:eastAsia="Wingdings 3" w:cs="Wingdings 3" w:ascii="Wingdings 3" w:hAnsi="Wingdings 3"/>
                <w:b w:val="false"/>
                <w:bCs/>
                <w:kern w:val="0"/>
                <w:sz w:val="24"/>
                <w:szCs w:val="24"/>
                <w:lang w:val="ru-RU" w:eastAsia="en-US" w:bidi="ar-SA"/>
              </w:rPr>
              <w:t>Ô</w:t>
            </w:r>
          </w:p>
        </w:tc>
        <w:tc>
          <w:tcPr>
            <w:tcW w:w="13574" w:type="dxa"/>
            <w:gridSpan w:val="7"/>
            <w:tcBorders>
              <w:right w:val="nil"/>
            </w:tcBorders>
          </w:tcPr>
          <w:p>
            <w:pPr>
              <w:pStyle w:val="Style22"/>
              <w:keepNext w:val="true"/>
              <w:keepLines w:val="false"/>
              <w:widowControl w:val="false"/>
              <w:spacing w:lineRule="auto" w:line="240" w:before="40" w:after="40"/>
              <w:jc w:val="center"/>
              <w:rPr>
                <w:b w:val="false"/>
                <w:bCs/>
                <w:sz w:val="24"/>
                <w:szCs w:val="24"/>
              </w:rPr>
            </w:pPr>
            <w:r>
              <w:rPr>
                <w:rFonts w:eastAsia="Calibri" w:cs="Arial"/>
                <w:b/>
                <w:bCs/>
                <w:kern w:val="0"/>
                <w:sz w:val="24"/>
                <w:szCs w:val="24"/>
                <w:lang w:val="ru-RU" w:eastAsia="en-US" w:bidi="ar-SA"/>
              </w:rPr>
              <w:t>Официальное размещение Извещения и Документации о закупке (подраздел </w:t>
            </w:r>
            <w:r>
              <w:rPr>
                <w:rFonts w:eastAsia="Calibri" w:cs="Arial"/>
                <w:b/>
                <w:bCs/>
                <w:kern w:val="0"/>
                <w:sz w:val="24"/>
                <w:szCs w:val="24"/>
                <w:lang w:val="ru-RU" w:eastAsia="en-US" w:bidi="ar-SA"/>
              </w:rPr>
              <w:fldChar w:fldCharType="begin"/>
            </w:r>
            <w:r>
              <w:rPr>
                <w:sz w:val="24"/>
                <w:b/>
                <w:kern w:val="0"/>
                <w:szCs w:val="24"/>
                <w:bCs/>
                <w:rFonts w:eastAsia="Calibri" w:cs="Arial"/>
                <w:lang w:val="ru-RU" w:eastAsia="en-US" w:bidi="ar-SA"/>
              </w:rPr>
              <w:instrText xml:space="preserve"> REF _Ref130286532 \r \h </w:instrText>
            </w:r>
            <w:r>
              <w:rPr>
                <w:sz w:val="24"/>
                <w:b/>
                <w:kern w:val="0"/>
                <w:szCs w:val="24"/>
                <w:bCs/>
                <w:rFonts w:eastAsia="Calibri" w:cs="Arial"/>
                <w:lang w:val="ru-RU" w:eastAsia="en-US" w:bidi="ar-SA"/>
              </w:rPr>
              <w:fldChar w:fldCharType="separate"/>
            </w:r>
            <w:r>
              <w:rPr>
                <w:sz w:val="24"/>
                <w:b/>
                <w:kern w:val="0"/>
                <w:szCs w:val="24"/>
                <w:bCs/>
                <w:rFonts w:eastAsia="Calibri" w:cs="Arial"/>
                <w:lang w:val="ru-RU" w:eastAsia="en-US" w:bidi="ar-SA"/>
              </w:rPr>
              <w:t>4.2</w:t>
            </w:r>
            <w:r>
              <w:rPr>
                <w:sz w:val="24"/>
                <w:b/>
                <w:kern w:val="0"/>
                <w:szCs w:val="24"/>
                <w:bCs/>
                <w:rFonts w:eastAsia="Calibri" w:cs="Arial"/>
                <w:lang w:val="ru-RU" w:eastAsia="en-US" w:bidi="ar-SA"/>
              </w:rPr>
              <w:fldChar w:fldCharType="end"/>
            </w:r>
            <w:r>
              <w:rPr>
                <w:rFonts w:eastAsia="Calibri" w:cs="Arial"/>
                <w:b/>
                <w:bCs/>
                <w:kern w:val="0"/>
                <w:sz w:val="24"/>
                <w:szCs w:val="24"/>
                <w:lang w:val="ru-RU" w:eastAsia="en-US" w:bidi="ar-SA"/>
              </w:rPr>
              <w:t>)</w:t>
            </w:r>
          </w:p>
        </w:tc>
      </w:tr>
      <w:tr>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6668" w:type="dxa"/>
            <w:gridSpan w:val="4"/>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Подготовка заявки (раздел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_Ref130281199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409" w:type="dxa"/>
            <w:vMerge w:val="restart"/>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Предоставление разъяснений положений Документации о закупке</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_Ref130394802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267" w:type="dxa"/>
            <w:vMerge w:val="restart"/>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Внесение изменений в Извещение и (или) Документацию о закупке</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_Ref125362076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4.5</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Отказ от проведения закупки (отмена закупки)</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_Ref126141962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3330" w:type="dxa"/>
            <w:gridSpan w:val="2"/>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Подача заявок и их прием</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_Ref125362119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3338" w:type="dxa"/>
            <w:gridSpan w:val="2"/>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Изменение и отзыв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_Ref125362130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4.7</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409"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67"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30" w:type="dxa"/>
            <w:vMerge w:val="continue"/>
            <w:tcBorders>
              <w:right w:val="nil"/>
            </w:tcBorders>
            <w:vAlign w:val="bottom"/>
          </w:tcPr>
          <w:p>
            <w:pPr>
              <w:pStyle w:val="Style22"/>
              <w:widowControl w:val="false"/>
              <w:spacing w:lineRule="auto" w:line="240" w:before="40" w:after="40"/>
              <w:jc w:val="center"/>
              <w:rPr>
                <w:bCs/>
                <w:sz w:val="24"/>
                <w:szCs w:val="24"/>
              </w:rPr>
            </w:pPr>
            <w:r>
              <w:rPr>
                <w:bCs/>
                <w:sz w:val="24"/>
                <w:szCs w:val="24"/>
              </w:rPr>
            </w:r>
          </w:p>
        </w:tc>
      </w:tr>
      <w:tr>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11344" w:type="dxa"/>
            <w:gridSpan w:val="6"/>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Открытие доступа к заявкам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_Ref130221619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4.8</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230" w:type="dxa"/>
            <w:vMerge w:val="restart"/>
            <w:tcBorders>
              <w:right w:val="nil"/>
            </w:tcBorders>
            <w:vAlign w:val="center"/>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_Ref126141962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4.16</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r>
        <w:trPr>
          <w:trHeight w:val="276" w:hRule="atLeast"/>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3330" w:type="dxa"/>
            <w:gridSpan w:val="2"/>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_Ref125362364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4.9</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3338" w:type="dxa"/>
            <w:gridSpan w:val="2"/>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Применение законодательства о национальном режиме</w:t>
              <w:br/>
              <w:t>(предоставление национального режима / запрета, ограничения)</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_Ref130985951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409" w:type="dxa"/>
            <w:vMerge w:val="restart"/>
            <w:tcBorders/>
            <w:vAlign w:val="center"/>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Направление дополнительных запросов разъяснений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_Ref125362381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4.10</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267" w:type="dxa"/>
            <w:vMerge w:val="restart"/>
            <w:tcBorders/>
            <w:vAlign w:val="center"/>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Признание закупки</w:t>
              <w:br/>
              <w:t>несостоявшейся</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_Ref125364149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4.15</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22"/>
              <w:widowControl w:val="false"/>
              <w:spacing w:lineRule="auto" w:line="240" w:before="40" w:after="40"/>
              <w:jc w:val="center"/>
              <w:rPr>
                <w:bCs/>
                <w:sz w:val="24"/>
                <w:szCs w:val="24"/>
              </w:rPr>
            </w:pPr>
            <w:r>
              <w:rPr>
                <w:bCs/>
                <w:sz w:val="24"/>
                <w:szCs w:val="24"/>
              </w:rPr>
            </w:r>
          </w:p>
        </w:tc>
      </w:tr>
      <w:tr>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6668" w:type="dxa"/>
            <w:gridSpan w:val="4"/>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Переторжка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_Ref127536359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4.11</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2409"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67"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30" w:type="dxa"/>
            <w:vMerge w:val="continue"/>
            <w:tcBorders>
              <w:right w:val="nil"/>
            </w:tcBorders>
          </w:tcPr>
          <w:p>
            <w:pPr>
              <w:pStyle w:val="Style22"/>
              <w:widowControl w:val="false"/>
              <w:spacing w:lineRule="auto" w:line="240"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2221" w:type="dxa"/>
            <w:tcBorders/>
            <w:vAlign w:val="center"/>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Оценка и сопоставление заявок</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_Ref125362626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4.12</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4447" w:type="dxa"/>
            <w:gridSpan w:val="3"/>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_Ref130985951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409"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67"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30" w:type="dxa"/>
            <w:vMerge w:val="continue"/>
            <w:tcBorders>
              <w:right w:val="nil"/>
            </w:tcBorders>
          </w:tcPr>
          <w:p>
            <w:pPr>
              <w:pStyle w:val="Style22"/>
              <w:widowControl w:val="false"/>
              <w:spacing w:lineRule="auto" w:line="240" w:before="40" w:after="40"/>
              <w:jc w:val="center"/>
              <w:rPr>
                <w:bCs/>
                <w:sz w:val="24"/>
                <w:szCs w:val="24"/>
              </w:rPr>
            </w:pPr>
            <w:r>
              <w:rPr>
                <w:bCs/>
                <w:sz w:val="24"/>
                <w:szCs w:val="24"/>
              </w:rPr>
            </w:r>
          </w:p>
        </w:tc>
      </w:tr>
      <w:tr>
        <w:trPr/>
        <w:tc>
          <w:tcPr>
            <w:tcW w:w="428" w:type="dxa"/>
            <w:tcBorders>
              <w:left w:val="nil"/>
            </w:tcBorders>
            <w:vAlign w:val="bottom"/>
          </w:tcPr>
          <w:p>
            <w:pPr>
              <w:pStyle w:val="Style22"/>
              <w:widowControl w:val="false"/>
              <w:spacing w:lineRule="auto" w:line="240"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9077" w:type="dxa"/>
            <w:gridSpan w:val="5"/>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Подведение итогов закупки (определение Победителя)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_Ref125362658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4.14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tc>
        <w:tc>
          <w:tcPr>
            <w:tcW w:w="2267" w:type="dxa"/>
            <w:vMerge w:val="continue"/>
            <w:tcBorders/>
          </w:tcPr>
          <w:p>
            <w:pPr>
              <w:pStyle w:val="Style22"/>
              <w:widowControl w:val="false"/>
              <w:spacing w:lineRule="auto" w:line="240" w:before="40" w:after="40"/>
              <w:jc w:val="center"/>
              <w:rPr>
                <w:bCs/>
                <w:sz w:val="24"/>
                <w:szCs w:val="24"/>
              </w:rPr>
            </w:pPr>
            <w:r>
              <w:rPr>
                <w:bCs/>
                <w:sz w:val="24"/>
                <w:szCs w:val="24"/>
              </w:rPr>
            </w:r>
          </w:p>
        </w:tc>
        <w:tc>
          <w:tcPr>
            <w:tcW w:w="2230" w:type="dxa"/>
            <w:vMerge w:val="continue"/>
            <w:tcBorders>
              <w:right w:val="nil"/>
            </w:tcBorders>
          </w:tcPr>
          <w:p>
            <w:pPr>
              <w:pStyle w:val="Style22"/>
              <w:widowControl w:val="false"/>
              <w:spacing w:lineRule="auto" w:line="240" w:before="40" w:after="40"/>
              <w:jc w:val="center"/>
              <w:rPr>
                <w:bCs/>
                <w:sz w:val="24"/>
                <w:szCs w:val="24"/>
              </w:rPr>
            </w:pPr>
            <w:r>
              <w:rPr>
                <w:bCs/>
                <w:sz w:val="24"/>
                <w:szCs w:val="24"/>
              </w:rPr>
            </w:r>
          </w:p>
        </w:tc>
      </w:tr>
      <w:tr>
        <w:trPr/>
        <w:tc>
          <w:tcPr>
            <w:tcW w:w="428" w:type="dxa"/>
            <w:tcBorders>
              <w:left w:val="nil"/>
            </w:tcBorders>
            <w:vAlign w:val="bottom"/>
          </w:tcPr>
          <w:p>
            <w:pPr>
              <w:pStyle w:val="Style22"/>
              <w:widowControl w:val="false"/>
              <w:spacing w:lineRule="auto" w:line="240"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t>Ô</w:t>
            </w:r>
          </w:p>
        </w:tc>
        <w:tc>
          <w:tcPr>
            <w:tcW w:w="4442" w:type="dxa"/>
            <w:gridSpan w:val="3"/>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Заключение Договора</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_Ref138232981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5.2</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r>
          </w:p>
          <w:p>
            <w:pPr>
              <w:pStyle w:val="Style22"/>
              <w:widowControl w:val="false"/>
              <w:spacing w:lineRule="auto" w:line="240" w:before="40" w:after="40"/>
              <w:jc w:val="center"/>
              <w:rPr>
                <w:bCs/>
                <w:sz w:val="24"/>
                <w:szCs w:val="24"/>
              </w:rPr>
            </w:pPr>
            <w:r>
              <w:rPr>
                <w:bCs/>
                <w:sz w:val="24"/>
                <w:szCs w:val="24"/>
              </w:rPr>
            </w:r>
          </w:p>
        </w:tc>
        <w:tc>
          <w:tcPr>
            <w:tcW w:w="4635" w:type="dxa"/>
            <w:gridSpan w:val="2"/>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Проведение преддоговорных переговоров</w:t>
              <w:br/>
              <w:t>(подраздел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_Ref125552570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5.3</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22"/>
              <w:widowControl w:val="false"/>
              <w:spacing w:lineRule="auto" w:line="240" w:before="40" w:after="40"/>
              <w:jc w:val="center"/>
              <w:rPr>
                <w:bCs/>
                <w:sz w:val="24"/>
                <w:szCs w:val="24"/>
              </w:rPr>
            </w:pPr>
            <w:r>
              <w:rPr>
                <w:rFonts w:eastAsia="Calibri" w:cs="Arial"/>
                <w:bCs/>
                <w:kern w:val="0"/>
                <w:sz w:val="24"/>
                <w:szCs w:val="24"/>
                <w:lang w:val="ru-RU" w:eastAsia="en-US" w:bidi="ar-SA"/>
              </w:rPr>
              <w:t>Уклонение Победителя</w:t>
              <w:br/>
              <w:t>от заключения Договора (подраздел </w:t>
            </w:r>
            <w:r>
              <w:rPr>
                <w:rFonts w:eastAsia="Calibri" w:cs="Arial"/>
                <w:bCs/>
                <w:kern w:val="0"/>
                <w:sz w:val="24"/>
                <w:szCs w:val="24"/>
                <w:lang w:val="ru-RU" w:eastAsia="en-US" w:bidi="ar-SA"/>
              </w:rPr>
              <w:fldChar w:fldCharType="begin"/>
            </w:r>
            <w:r>
              <w:rPr>
                <w:sz w:val="24"/>
                <w:kern w:val="0"/>
                <w:szCs w:val="24"/>
                <w:bCs/>
                <w:rFonts w:eastAsia="Calibri" w:cs="Arial"/>
                <w:lang w:val="ru-RU" w:eastAsia="en-US" w:bidi="ar-SA"/>
              </w:rPr>
              <w:instrText xml:space="preserve"> REF _Ref125367068 \r \h </w:instrText>
            </w:r>
            <w:r>
              <w:rPr>
                <w:sz w:val="24"/>
                <w:kern w:val="0"/>
                <w:szCs w:val="24"/>
                <w:bCs/>
                <w:rFonts w:eastAsia="Calibri" w:cs="Arial"/>
                <w:lang w:val="ru-RU" w:eastAsia="en-US" w:bidi="ar-SA"/>
              </w:rPr>
              <w:fldChar w:fldCharType="separate"/>
            </w:r>
            <w:r>
              <w:rPr>
                <w:sz w:val="24"/>
                <w:kern w:val="0"/>
                <w:szCs w:val="24"/>
                <w:bCs/>
                <w:rFonts w:eastAsia="Calibri" w:cs="Arial"/>
                <w:lang w:val="ru-RU" w:eastAsia="en-US" w:bidi="ar-SA"/>
              </w:rPr>
              <w:t>5.4</w:t>
            </w:r>
            <w:r>
              <w:rPr>
                <w:sz w:val="24"/>
                <w:kern w:val="0"/>
                <w:szCs w:val="24"/>
                <w:bCs/>
                <w:rFonts w:eastAsia="Calibri" w:cs="Arial"/>
                <w:lang w:val="ru-RU" w:eastAsia="en-US" w:bidi="ar-SA"/>
              </w:rPr>
              <w:fldChar w:fldCharType="end"/>
            </w:r>
            <w:r>
              <w:rPr>
                <w:rFonts w:eastAsia="Calibri" w:cs="Arial"/>
                <w:bCs/>
                <w:kern w:val="0"/>
                <w:sz w:val="24"/>
                <w:szCs w:val="24"/>
                <w:lang w:val="ru-RU" w:eastAsia="en-US" w:bidi="ar-SA"/>
              </w:rPr>
              <w:t>)</w:t>
              <w:br/>
            </w:r>
            <w:r>
              <w:rPr>
                <w:rFonts w:eastAsia="Calibri" w:cs="Arial"/>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17"/>
        <w:spacing w:before="360" w:after="0"/>
        <w:rPr/>
      </w:pPr>
      <w:bookmarkStart w:id="105" w:name="_Toc230928843"/>
      <w:bookmarkStart w:id="106" w:name="_Ref130286532"/>
      <w:r>
        <w:rPr/>
        <w:t>Официальное размещение Извещения и Документации о закупке</w:t>
      </w:r>
      <w:bookmarkEnd w:id="105"/>
      <w:bookmarkEnd w:id="106"/>
    </w:p>
    <w:p>
      <w:pPr>
        <w:pStyle w:val="Style18"/>
        <w:spacing w:before="120" w:after="0"/>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18"/>
        <w:spacing w:before="0" w:after="0"/>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18"/>
        <w:spacing w:before="0" w:after="0"/>
        <w:rPr/>
      </w:pPr>
      <w:bookmarkStart w:id="107"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7"/>
    </w:p>
    <w:p>
      <w:pPr>
        <w:pStyle w:val="Style18"/>
        <w:spacing w:before="0" w:after="0"/>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17"/>
        <w:spacing w:before="360" w:after="0"/>
        <w:rPr/>
      </w:pPr>
      <w:bookmarkStart w:id="108" w:name="_Toc230928844"/>
      <w:bookmarkStart w:id="109" w:name="_Ref130394681"/>
      <w:bookmarkStart w:id="110" w:name="_Ref130281199"/>
      <w:r>
        <w:rPr/>
        <w:t>Подготовка заявки</w:t>
      </w:r>
      <w:bookmarkEnd w:id="108"/>
      <w:bookmarkEnd w:id="109"/>
      <w:bookmarkEnd w:id="110"/>
    </w:p>
    <w:p>
      <w:pPr>
        <w:pStyle w:val="Style18"/>
        <w:spacing w:before="120" w:after="0"/>
        <w:rPr/>
      </w:pPr>
      <w:r>
        <w:rPr/>
        <w:t>Участник должен подготовить заявку с учетом требований Документации о закупке.</w:t>
      </w:r>
    </w:p>
    <w:p>
      <w:pPr>
        <w:pStyle w:val="Style18"/>
        <w:spacing w:before="0" w:after="0"/>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18"/>
        <w:spacing w:before="0" w:after="0"/>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tgtFrame="#Прил06_СоставЗаявки">
        <w:r>
          <w:rPr>
            <w:rStyle w:val="Style6"/>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tgtFrame="#Прил04_ФормыЗаявки">
        <w:r>
          <w:rPr>
            <w:rStyle w:val="Style6"/>
          </w:rPr>
          <w:t>Приложение № 4</w:t>
        </w:r>
      </w:hyperlink>
      <w:r>
        <w:rPr/>
        <w:t>.</w:t>
      </w:r>
    </w:p>
    <w:p>
      <w:pPr>
        <w:pStyle w:val="Style18"/>
        <w:spacing w:before="0" w:after="0"/>
        <w:rPr/>
      </w:pPr>
      <w:bookmarkStart w:id="111" w:name="_Ref125365866"/>
      <w:bookmarkStart w:id="112"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1"/>
      <w:bookmarkEnd w:id="112"/>
    </w:p>
    <w:p>
      <w:pPr>
        <w:pStyle w:val="Style18"/>
        <w:spacing w:before="0" w:after="0"/>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tgtFrame="#Прил04_ФормыЗаявки">
        <w:r>
          <w:rPr>
            <w:rStyle w:val="Style6"/>
          </w:rPr>
          <w:t>Приложение № 4</w:t>
        </w:r>
      </w:hyperlink>
      <w:r>
        <w:rPr/>
        <w:t>) может служить основанием для отклонения заявки.</w:t>
      </w:r>
    </w:p>
    <w:p>
      <w:pPr>
        <w:pStyle w:val="Style18"/>
        <w:spacing w:before="0" w:after="0"/>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18"/>
        <w:spacing w:before="0" w:after="0"/>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18"/>
        <w:spacing w:before="0" w:after="0"/>
        <w:rPr/>
      </w:pPr>
      <w:bookmarkStart w:id="113" w:name="_Ref125370708"/>
      <w:bookmarkStart w:id="114" w:name="_Ref125370700"/>
      <w:bookmarkEnd w:id="113"/>
      <w:bookmarkEnd w:id="114"/>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18"/>
        <w:spacing w:before="0" w:after="0"/>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tgtFrame="#Прил01_ТехТребования">
        <w:r>
          <w:rPr>
            <w:rStyle w:val="Style6"/>
          </w:rPr>
          <w:t>Техническими требованиями (Приложение № 1)</w:t>
        </w:r>
      </w:hyperlink>
      <w:r>
        <w:rPr/>
        <w:t xml:space="preserve"> и </w:t>
      </w:r>
      <w:hyperlink w:anchor="Прил02_ПроектДоговора" w:tgtFrame="#Прил02_ПроектДоговора">
        <w:r>
          <w:rPr>
            <w:rStyle w:val="Style6"/>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p>
    <w:p>
      <w:pPr>
        <w:pStyle w:val="Style18"/>
        <w:spacing w:before="0" w:after="0"/>
        <w:rPr/>
      </w:pPr>
      <w:bookmarkStart w:id="115" w:name="_Ref164248735"/>
      <w:bookmarkStart w:id="116" w:name="_Ref125370708_Копия_1"/>
      <w:bookmarkStart w:id="117" w:name="_Ref125370700_Копия_1"/>
      <w:bookmarkEnd w:id="116"/>
      <w:bookmarkEnd w:id="117"/>
      <w:r>
        <w:rPr/>
        <w:t>Нормы настоящего пункта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tgtFrame="#Прил04_ФормыЗаявки">
        <w:r>
          <w:rPr>
            <w:rStyle w:val="Style6"/>
          </w:rPr>
          <w:t>Приложение № 4</w:t>
        </w:r>
      </w:hyperlink>
      <w:r>
        <w:rP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tgtFrame="#Прил01_ТехТребования">
        <w:r>
          <w:rPr>
            <w:rStyle w:val="Style6"/>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bookmarkEnd w:id="115"/>
    </w:p>
    <w:p>
      <w:pPr>
        <w:pStyle w:val="Style18"/>
        <w:spacing w:before="0" w:after="0"/>
        <w:rPr/>
      </w:pPr>
      <w:bookmarkStart w:id="118" w:name="_Ref130379863"/>
      <w:r>
        <w:rPr/>
        <w:t>Нормы настоящего пункта и пунктов </w:t>
      </w:r>
      <w:r>
        <w:rPr/>
        <w:fldChar w:fldCharType="begin"/>
      </w:r>
      <w:r>
        <w:rPr/>
        <w:instrText xml:space="preserve"> REF _Ref164248775 \r \h </w:instrText>
      </w:r>
      <w:r>
        <w:rPr/>
        <w:fldChar w:fldCharType="separate"/>
      </w:r>
      <w:r>
        <w:rPr/>
        <w:t>4.3.12</w:t>
      </w:r>
      <w:r>
        <w:rPr/>
        <w:fldChar w:fldCharType="end"/>
      </w:r>
      <w:r>
        <w:rPr/>
        <w:t xml:space="preserve"> – </w:t>
      </w:r>
      <w:r>
        <w:rPr/>
        <w:fldChar w:fldCharType="begin"/>
      </w:r>
      <w:r>
        <w:rPr/>
        <w:instrText xml:space="preserve"> REF _Ref130455500 \r \h </w:instrText>
      </w:r>
      <w:r>
        <w:rPr/>
        <w:fldChar w:fldCharType="separate"/>
      </w:r>
      <w:r>
        <w:rPr/>
        <w:t>4.3.15</w:t>
      </w:r>
      <w:r>
        <w:rPr/>
        <w:fldChar w:fldCharType="end"/>
      </w:r>
      <w:r>
        <w:rPr/>
        <w:t xml:space="preserve">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tgtFrame="#Прил04_ФормыЗаявки">
        <w:r>
          <w:rPr>
            <w:rStyle w:val="Style6"/>
          </w:rPr>
          <w:t>Приложение № 4</w:t>
        </w:r>
      </w:hyperlink>
      <w:r>
        <w:rP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tgtFrame="#Прил01_ТехТребования">
        <w:r>
          <w:rPr>
            <w:rStyle w:val="Style6"/>
          </w:rPr>
          <w:t>Технических требованиях (Приложение № 1)</w:t>
        </w:r>
      </w:hyperlink>
      <w:r>
        <w:rPr/>
        <w:t>.</w:t>
      </w:r>
      <w:bookmarkEnd w:id="118"/>
    </w:p>
    <w:p>
      <w:pPr>
        <w:pStyle w:val="Style18"/>
        <w:spacing w:before="0" w:after="0"/>
        <w:rPr/>
      </w:pPr>
      <w:bookmarkStart w:id="119" w:name="_Ref164248775"/>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tgtFrame="#Прил01_ТехТребования">
        <w:r>
          <w:rPr>
            <w:rStyle w:val="Style6"/>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119"/>
    </w:p>
    <w:p>
      <w:pPr>
        <w:pStyle w:val="Style18"/>
        <w:spacing w:before="0" w:after="0"/>
        <w:rPr/>
      </w:pPr>
      <w:r>
        <w:rPr/>
        <w:t xml:space="preserve">Если в </w:t>
      </w:r>
      <w:hyperlink w:anchor="Прил01_ТехТребования" w:tgtFrame="#Прил01_ТехТребования">
        <w:r>
          <w:rPr>
            <w:rStyle w:val="Style6"/>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tgtFrame="#Прил01_ТехТребования">
        <w:r>
          <w:rPr>
            <w:rStyle w:val="Style6"/>
          </w:rPr>
          <w:t>Технических требованиях (Приложение № 1)</w:t>
        </w:r>
      </w:hyperlink>
      <w:r>
        <w:rPr/>
        <w:t>.</w:t>
      </w:r>
    </w:p>
    <w:p>
      <w:pPr>
        <w:pStyle w:val="Style18"/>
        <w:spacing w:before="0" w:after="0"/>
        <w:rPr/>
      </w:pPr>
      <w:bookmarkStart w:id="120"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tgtFrame="#Прил01_ТехТребования">
        <w:r>
          <w:rPr>
            <w:rStyle w:val="Style6"/>
          </w:rPr>
          <w:t>Техническими требованиями (Приложение № 1)</w:t>
        </w:r>
      </w:hyperlink>
      <w:r>
        <w:rPr/>
        <w:t>.</w:t>
      </w:r>
      <w:bookmarkEnd w:id="120"/>
    </w:p>
    <w:p>
      <w:pPr>
        <w:pStyle w:val="Style18"/>
        <w:spacing w:before="0" w:after="0"/>
        <w:rPr/>
      </w:pPr>
      <w:bookmarkStart w:id="121"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4.3.11</w:t>
      </w:r>
      <w:r>
        <w:rPr/>
        <w:fldChar w:fldCharType="end"/>
      </w:r>
      <w:r>
        <w:rPr/>
        <w:t xml:space="preserve"> – </w:t>
      </w:r>
      <w:r>
        <w:rPr/>
        <w:fldChar w:fldCharType="begin"/>
      </w:r>
      <w:r>
        <w:rPr/>
        <w:instrText xml:space="preserve"> REF _Ref130379876 \r \h </w:instrText>
      </w:r>
      <w:r>
        <w:rPr/>
        <w:fldChar w:fldCharType="separate"/>
      </w:r>
      <w:r>
        <w:rPr/>
        <w:t>4.3.14</w:t>
      </w:r>
      <w:r>
        <w:rPr/>
        <w:fldChar w:fldCharType="end"/>
      </w:r>
      <w:r>
        <w:rPr/>
        <w:t>) Организатор вправе отклонить заявку такого Участника от дальнейшего участия в закупке.</w:t>
      </w:r>
      <w:bookmarkEnd w:id="121"/>
    </w:p>
    <w:p>
      <w:pPr>
        <w:pStyle w:val="Style18"/>
        <w:keepNext w:val="true"/>
        <w:spacing w:before="0" w:after="0"/>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18"/>
        <w:keepNext w:val="true"/>
        <w:spacing w:before="0" w:after="0"/>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19"/>
        <w:spacing w:before="120" w:after="0"/>
        <w:rPr/>
      </w:pPr>
      <w:r>
        <w:rPr/>
        <w:t>внутренние противоречия между различными частями и (или) документами заявки, в том числе по тексту внутри одного документа;</w:t>
      </w:r>
    </w:p>
    <w:p>
      <w:pPr>
        <w:pStyle w:val="Style19"/>
        <w:spacing w:before="0" w:after="0"/>
        <w:rPr/>
      </w:pPr>
      <w:bookmarkStart w:id="122" w:name="_Ref125714384"/>
      <w:bookmarkStart w:id="123" w:name="_Ref125370398"/>
      <w:r>
        <w:rPr/>
        <w:t>противоречия между документами заявки и сведениями, указанными Участником в структурированных формах на ЭП.</w:t>
      </w:r>
      <w:bookmarkEnd w:id="122"/>
      <w:bookmarkEnd w:id="123"/>
    </w:p>
    <w:p>
      <w:pPr>
        <w:pStyle w:val="Style18"/>
        <w:spacing w:before="120" w:after="0"/>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19"/>
        <w:spacing w:before="120" w:after="0"/>
        <w:rPr/>
      </w:pPr>
      <w:r>
        <w:rPr/>
        <w:t>полномочий таких органов / лиц на оформление этих документов;</w:t>
      </w:r>
    </w:p>
    <w:p>
      <w:pPr>
        <w:pStyle w:val="Style19"/>
        <w:spacing w:before="0" w:after="0"/>
        <w:rPr/>
      </w:pPr>
      <w:r>
        <w:rPr/>
        <w:t>формы, объема и содержания этих документов.</w:t>
      </w:r>
    </w:p>
    <w:p>
      <w:pPr>
        <w:pStyle w:val="Style18"/>
        <w:keepNext w:val="true"/>
        <w:spacing w:before="120" w:after="0"/>
        <w:rPr/>
      </w:pPr>
      <w:r>
        <w:rPr/>
        <w:t>Участник должен подготовить заявку с соблюдением следующих условий:</w:t>
      </w:r>
    </w:p>
    <w:p>
      <w:pPr>
        <w:pStyle w:val="Style19"/>
        <w:spacing w:before="120" w:after="0"/>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19"/>
        <w:spacing w:before="0" w:after="0"/>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19"/>
        <w:spacing w:before="0" w:after="0"/>
        <w:rPr/>
      </w:pPr>
      <w:r>
        <w:rPr/>
        <w:t>все файлы не должны иметь защиты от их открытия, изменения, копирования их содержимого или их печати;</w:t>
      </w:r>
    </w:p>
    <w:p>
      <w:pPr>
        <w:pStyle w:val="Style19"/>
        <w:spacing w:before="0" w:after="0"/>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19"/>
        <w:spacing w:before="0" w:after="0"/>
        <w:rPr/>
      </w:pPr>
      <w:r>
        <w:rPr/>
        <w:t>если какой-либо документ представлен в нечитаемом виде, данный документ считается непредставленным.</w:t>
      </w:r>
    </w:p>
    <w:p>
      <w:pPr>
        <w:pStyle w:val="Style18"/>
        <w:spacing w:before="120" w:after="0"/>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17"/>
        <w:spacing w:before="360" w:after="0"/>
        <w:rPr/>
      </w:pPr>
      <w:bookmarkStart w:id="124" w:name="_Ref125366672"/>
      <w:bookmarkStart w:id="125" w:name="_Ref125362071"/>
      <w:bookmarkStart w:id="126" w:name="_Ref125361260"/>
      <w:bookmarkStart w:id="127" w:name="_Toc230928845"/>
      <w:bookmarkStart w:id="128" w:name="_Ref130394802"/>
      <w:bookmarkStart w:id="129" w:name="_Ref130394785"/>
      <w:bookmarkStart w:id="130" w:name="_Ref130394205"/>
      <w:r>
        <w:rPr/>
        <w:t>Разъяснение Документации о закупке</w:t>
      </w:r>
      <w:bookmarkEnd w:id="124"/>
      <w:bookmarkEnd w:id="125"/>
      <w:bookmarkEnd w:id="126"/>
      <w:bookmarkEnd w:id="127"/>
      <w:bookmarkEnd w:id="128"/>
      <w:bookmarkEnd w:id="129"/>
      <w:bookmarkEnd w:id="130"/>
    </w:p>
    <w:p>
      <w:pPr>
        <w:pStyle w:val="Style18"/>
        <w:spacing w:before="120" w:after="0"/>
        <w:rPr/>
      </w:pPr>
      <w:r>
        <w:rPr/>
        <w:t>Участники вправе обратиться к Организатору за разъяснениями Документации о закупке.</w:t>
      </w:r>
    </w:p>
    <w:p>
      <w:pPr>
        <w:pStyle w:val="Style18"/>
        <w:spacing w:before="0" w:after="0"/>
        <w:rPr/>
      </w:pPr>
      <w:r>
        <w:rPr/>
        <w:t>Запросы подаются в соответствии с Регламентами и инструкциями Оператора ЭП, опубликованными на сайте соответствующей ЭП.</w:t>
      </w:r>
    </w:p>
    <w:p>
      <w:pPr>
        <w:pStyle w:val="Style18"/>
        <w:spacing w:before="0" w:after="0"/>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18"/>
        <w:spacing w:before="0" w:after="0"/>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18"/>
        <w:spacing w:before="0" w:after="0"/>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18"/>
        <w:spacing w:before="0" w:after="0"/>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tgtFrame="#Прил02_ПроектДоговора">
        <w:r>
          <w:rPr>
            <w:rStyle w:val="Style6"/>
          </w:rPr>
          <w:t>Проекта договора (Приложения № 2)</w:t>
        </w:r>
      </w:hyperlink>
      <w:r>
        <w:rPr>
          <w:rStyle w:val="Style6"/>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18"/>
        <w:spacing w:before="0" w:after="0"/>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17"/>
        <w:spacing w:before="360" w:after="0"/>
        <w:rPr/>
      </w:pPr>
      <w:bookmarkStart w:id="131" w:name="_Ref125364404"/>
      <w:bookmarkStart w:id="132" w:name="_Toc230928846"/>
      <w:bookmarkStart w:id="133" w:name="_Ref125362076"/>
      <w:bookmarkStart w:id="134" w:name="_Ref125363891"/>
      <w:r>
        <w:rPr/>
        <w:t>Изменения Извещения и (или) Документации о закупке</w:t>
      </w:r>
      <w:bookmarkEnd w:id="131"/>
      <w:bookmarkEnd w:id="132"/>
      <w:bookmarkEnd w:id="133"/>
      <w:bookmarkEnd w:id="134"/>
    </w:p>
    <w:p>
      <w:pPr>
        <w:pStyle w:val="Style18"/>
        <w:spacing w:before="120" w:after="0"/>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18"/>
        <w:spacing w:before="0" w:after="0"/>
        <w:rPr/>
      </w:pPr>
      <w:bookmarkStart w:id="135"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35"/>
    </w:p>
    <w:p>
      <w:pPr>
        <w:pStyle w:val="Style18"/>
        <w:spacing w:before="0" w:after="0"/>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18"/>
        <w:spacing w:before="0" w:after="0"/>
        <w:rPr/>
      </w:pPr>
      <w:bookmarkStart w:id="136"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36"/>
      <w:r>
        <w:rPr/>
        <w:t xml:space="preserve"> 8 (восьми) календарных дней.</w:t>
      </w:r>
    </w:p>
    <w:p>
      <w:pPr>
        <w:pStyle w:val="Style18"/>
        <w:spacing w:before="0" w:after="0"/>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17"/>
        <w:spacing w:before="360" w:after="0"/>
        <w:rPr/>
      </w:pPr>
      <w:bookmarkStart w:id="137" w:name="_Toc230928847"/>
      <w:bookmarkStart w:id="138" w:name="_Ref125362119"/>
      <w:r>
        <w:rPr/>
        <w:t>Подача заявок и их прием</w:t>
      </w:r>
      <w:bookmarkEnd w:id="137"/>
      <w:bookmarkEnd w:id="138"/>
    </w:p>
    <w:p>
      <w:pPr>
        <w:pStyle w:val="Style18"/>
        <w:spacing w:before="120" w:after="0"/>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18"/>
        <w:spacing w:before="0" w:after="0"/>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18"/>
        <w:spacing w:before="0" w:after="0"/>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18"/>
        <w:spacing w:before="0" w:after="0"/>
        <w:rPr/>
      </w:pPr>
      <w:r>
        <w:rPr/>
        <w:t>Заявка должна быть подписана усиленной квалифицированной электронной подписью лица, которое является уполномоченным представителем Участника.</w:t>
      </w:r>
    </w:p>
    <w:p>
      <w:pPr>
        <w:pStyle w:val="Style18"/>
        <w:spacing w:before="0" w:after="0"/>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18"/>
        <w:spacing w:before="0" w:after="0"/>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18"/>
        <w:spacing w:before="0" w:after="0"/>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17"/>
        <w:spacing w:before="360" w:after="0"/>
        <w:rPr/>
      </w:pPr>
      <w:bookmarkStart w:id="139" w:name="_Ref125362192"/>
      <w:bookmarkStart w:id="140" w:name="_Toc230928848"/>
      <w:bookmarkStart w:id="141" w:name="_Ref125365136"/>
      <w:bookmarkStart w:id="142" w:name="_Ref125362130"/>
      <w:bookmarkStart w:id="143" w:name="_Ref125363819"/>
      <w:r>
        <w:rPr/>
        <w:t>Изменение и отзыв заявок</w:t>
      </w:r>
      <w:bookmarkEnd w:id="139"/>
      <w:bookmarkEnd w:id="140"/>
      <w:bookmarkEnd w:id="141"/>
      <w:bookmarkEnd w:id="142"/>
      <w:bookmarkEnd w:id="143"/>
    </w:p>
    <w:p>
      <w:pPr>
        <w:pStyle w:val="Style18"/>
        <w:spacing w:before="120" w:after="0"/>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18"/>
        <w:spacing w:before="0" w:after="0"/>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18"/>
        <w:spacing w:before="0" w:after="0"/>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18"/>
        <w:spacing w:before="0" w:after="0"/>
        <w:rPr/>
      </w:pPr>
      <w:r>
        <w:rPr/>
        <w:t>Изменения и отзыв заявки осуществляется посредством функционала ЭП (подробный порядок определяется Регламентом ЭП).</w:t>
      </w:r>
    </w:p>
    <w:p>
      <w:pPr>
        <w:pStyle w:val="Style17"/>
        <w:spacing w:before="360" w:after="0"/>
        <w:rPr/>
      </w:pPr>
      <w:bookmarkStart w:id="144" w:name="_Toc230928849"/>
      <w:bookmarkStart w:id="145" w:name="_Ref130221619"/>
      <w:bookmarkStart w:id="146" w:name="_Ref125364340"/>
      <w:bookmarkEnd w:id="146"/>
      <w:r>
        <w:rPr/>
        <w:t>Открытие доступа к заявкам</w:t>
      </w:r>
      <w:bookmarkEnd w:id="144"/>
      <w:bookmarkEnd w:id="145"/>
    </w:p>
    <w:p>
      <w:pPr>
        <w:pStyle w:val="Style18"/>
        <w:spacing w:before="120" w:after="0"/>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18"/>
        <w:spacing w:before="0" w:after="0"/>
        <w:rPr/>
      </w:pPr>
      <w:r>
        <w:rPr/>
        <w:t>Оператор ЭП предоставляет Организатору доступ одновременно ко всем поданным заявкам в полном объеме.</w:t>
      </w:r>
    </w:p>
    <w:p>
      <w:pPr>
        <w:pStyle w:val="Style18"/>
        <w:keepNext w:val="true"/>
        <w:spacing w:before="0" w:after="0"/>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19"/>
        <w:spacing w:before="120" w:after="0"/>
        <w:rPr/>
      </w:pPr>
      <w:r>
        <w:rPr/>
        <w:t>дата подписания протокола;</w:t>
      </w:r>
    </w:p>
    <w:p>
      <w:pPr>
        <w:pStyle w:val="Style19"/>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19"/>
        <w:spacing w:before="0" w:after="0"/>
        <w:rPr/>
      </w:pPr>
      <w:r>
        <w:rPr/>
        <w:t>наименование и адрес регистрации Участников, подавших заявки, и (или) их идентификационные номера, присваиваемые Оператором ЭП;</w:t>
      </w:r>
    </w:p>
    <w:p>
      <w:pPr>
        <w:pStyle w:val="Style19"/>
        <w:spacing w:before="0" w:after="0"/>
        <w:rPr/>
      </w:pPr>
      <w:r>
        <w:rPr/>
        <w:t>стоимости заявок (или иное указание на общую стоимость заявки);</w:t>
      </w:r>
    </w:p>
    <w:p>
      <w:pPr>
        <w:pStyle w:val="Style19"/>
        <w:spacing w:before="0" w:after="0"/>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2"/>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18"/>
        <w:spacing w:before="120" w:after="0"/>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18"/>
        <w:spacing w:before="0" w:after="0"/>
        <w:rPr/>
      </w:pPr>
      <w:r>
        <w:rPr/>
        <w:t>Порядок получения Участниками информации о поступивших заявках через ЭП определяется Регламентом ЭП.</w:t>
      </w:r>
    </w:p>
    <w:p>
      <w:pPr>
        <w:pStyle w:val="Style17"/>
        <w:spacing w:before="360" w:after="0"/>
        <w:rPr/>
      </w:pPr>
      <w:bookmarkStart w:id="147" w:name="_Toc230928850"/>
      <w:bookmarkStart w:id="148" w:name="_Ref135749133"/>
      <w:bookmarkStart w:id="149" w:name="_Ref125366689"/>
      <w:bookmarkStart w:id="150" w:name="_Ref125362364"/>
      <w:bookmarkStart w:id="151" w:name="_Ref125364340_Копия_1"/>
      <w:bookmarkEnd w:id="151"/>
      <w:r>
        <w:rPr/>
        <w:t>Рассмотрение заявок (отборочная стадия)</w:t>
      </w:r>
      <w:bookmarkEnd w:id="149"/>
      <w:bookmarkEnd w:id="150"/>
      <w:r>
        <w:rPr/>
        <w:t>, в том числе (при необходимости) проведение аккредитации</w:t>
      </w:r>
      <w:bookmarkEnd w:id="147"/>
      <w:bookmarkEnd w:id="148"/>
    </w:p>
    <w:p>
      <w:pPr>
        <w:pStyle w:val="Style18"/>
        <w:spacing w:before="120" w:after="0"/>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18"/>
        <w:spacing w:before="0" w:after="0"/>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tgtFrame="#Прил07_ОтборочныеКритерии">
        <w:r>
          <w:rPr>
            <w:rStyle w:val="Style6"/>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18"/>
        <w:spacing w:before="0" w:after="0"/>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18"/>
        <w:keepNext w:val="true"/>
        <w:spacing w:before="0" w:after="0"/>
        <w:rPr/>
      </w:pPr>
      <w:bookmarkStart w:id="152" w:name="_Ref224833137"/>
      <w:r>
        <w:rPr/>
        <w:t>При выявлении в рамках рассмотрения заявок наличия арифметических ошибок, в том числе:</w:t>
      </w:r>
      <w:bookmarkEnd w:id="152"/>
    </w:p>
    <w:p>
      <w:pPr>
        <w:pStyle w:val="Style19"/>
        <w:spacing w:before="120" w:after="0"/>
        <w:rPr/>
      </w:pPr>
      <w:r>
        <w:rPr/>
        <w:t>в результате суммирования единичных расценок;</w:t>
      </w:r>
    </w:p>
    <w:p>
      <w:pPr>
        <w:pStyle w:val="Style19"/>
        <w:spacing w:before="0" w:after="0"/>
        <w:rPr/>
      </w:pPr>
      <w:r>
        <w:rPr/>
        <w:t>в итогах умножения единичных расценок на объем продукции;</w:t>
      </w:r>
    </w:p>
    <w:p>
      <w:pPr>
        <w:pStyle w:val="Style19"/>
        <w:spacing w:before="0" w:after="0"/>
        <w:rPr/>
      </w:pPr>
      <w:r>
        <w:rPr/>
        <w:t>в вычислении суммы НДС и итоговой стоимости заявки с учетом НДС;</w:t>
      </w:r>
    </w:p>
    <w:p>
      <w:pPr>
        <w:pStyle w:val="Style19"/>
        <w:spacing w:before="0" w:after="0"/>
        <w:rPr/>
      </w:pPr>
      <w:r>
        <w:rPr/>
        <w:t>иных внутренних противоречий в составе заявки,</w:t>
      </w:r>
    </w:p>
    <w:p>
      <w:pPr>
        <w:pStyle w:val="Style22"/>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18"/>
        <w:keepNext w:val="true"/>
        <w:spacing w:before="120" w:after="0"/>
        <w:rPr/>
      </w:pPr>
      <w:bookmarkStart w:id="153"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53"/>
    </w:p>
    <w:p>
      <w:pPr>
        <w:pStyle w:val="Style19"/>
        <w:spacing w:before="120" w:after="0"/>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0"/>
        <w:spacing w:before="120" w:after="0"/>
        <w:rPr/>
      </w:pPr>
      <w:r>
        <w:rPr/>
        <w:t>недостоверных сведений или намеренно искаженной информации или документов;</w:t>
      </w:r>
    </w:p>
    <w:p>
      <w:pPr>
        <w:pStyle w:val="Style20"/>
        <w:spacing w:before="0" w:after="0"/>
        <w:rPr/>
      </w:pPr>
      <w:r>
        <w:rP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rPr/>
        <w:fldChar w:fldCharType="begin"/>
      </w:r>
      <w:r>
        <w:rPr/>
        <w:instrText xml:space="preserve"> REF _Ref224833137 \r \h </w:instrText>
      </w:r>
      <w:r>
        <w:rPr/>
        <w:fldChar w:fldCharType="separate"/>
      </w:r>
      <w:r>
        <w:rPr/>
        <w:t>4.9.4</w:t>
      </w:r>
      <w:r>
        <w:rPr/>
        <w:fldChar w:fldCharType="end"/>
      </w:r>
      <w:r>
        <w:rPr/>
        <w:t>);</w:t>
      </w:r>
    </w:p>
    <w:p>
      <w:pPr>
        <w:pStyle w:val="Style19"/>
        <w:spacing w:before="120" w:after="0"/>
        <w:rPr/>
      </w:pPr>
      <w:r>
        <w:rPr/>
        <w:t>несоответствие Участников требованиям Документации о закупке;</w:t>
      </w:r>
    </w:p>
    <w:p>
      <w:pPr>
        <w:pStyle w:val="Style19"/>
        <w:spacing w:before="0" w:after="0"/>
        <w:rPr/>
      </w:pPr>
      <w:r>
        <w:rPr/>
        <w:t>несоответствие привлекаемых субподрядчиков (соисполнителей) требованиям Документации о закупке;</w:t>
      </w:r>
    </w:p>
    <w:p>
      <w:pPr>
        <w:pStyle w:val="Style19"/>
        <w:spacing w:before="0" w:after="0"/>
        <w:rPr/>
      </w:pPr>
      <w:r>
        <w:rPr/>
        <w:t>несоответствие предлагаемой продукции требованиям Документации о закупке, в том числе порядка описания такой продукции;</w:t>
      </w:r>
    </w:p>
    <w:p>
      <w:pPr>
        <w:pStyle w:val="Style19"/>
        <w:spacing w:before="0" w:after="0"/>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19"/>
        <w:spacing w:before="0" w:after="0"/>
        <w:rPr/>
      </w:pPr>
      <w:r>
        <w:rPr/>
        <w:t>несоответствие размера, формы, условий и порядка предоставления обеспечения заявки.</w:t>
      </w:r>
    </w:p>
    <w:p>
      <w:pPr>
        <w:pStyle w:val="Style18"/>
        <w:spacing w:before="120" w:after="0"/>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_Ref125359973 \r \h </w:instrText>
      </w:r>
      <w:r>
        <w:rPr/>
        <w:fldChar w:fldCharType="separate"/>
      </w:r>
      <w:r>
        <w:rPr/>
        <w:t>1.2</w:t>
      </w:r>
      <w:r>
        <w:rPr/>
        <w:fldChar w:fldCharType="end"/>
      </w:r>
      <w:r>
        <w:rPr/>
        <w:t>,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18"/>
        <w:keepNext w:val="true"/>
        <w:spacing w:before="0" w:after="0"/>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6"/>
      </w:r>
      <w:r>
        <w:rPr/>
        <w:t>:</w:t>
      </w:r>
    </w:p>
    <w:p>
      <w:pPr>
        <w:pStyle w:val="Style19"/>
        <w:spacing w:before="120" w:after="0"/>
        <w:rPr/>
      </w:pPr>
      <w:r>
        <w:rPr/>
        <w:t>дата подписания протокола;</w:t>
      </w:r>
    </w:p>
    <w:p>
      <w:pPr>
        <w:pStyle w:val="Style19"/>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19"/>
        <w:spacing w:before="0" w:after="0"/>
        <w:rPr/>
      </w:pPr>
      <w:r>
        <w:rPr/>
        <w:t>наименования Участников, подавших заявки, и (или) их идентификационные номера, присваиваемые Оператором ЭП;</w:t>
      </w:r>
    </w:p>
    <w:p>
      <w:pPr>
        <w:pStyle w:val="Style19"/>
        <w:keepNext w:val="true"/>
        <w:spacing w:before="0" w:after="0"/>
        <w:rPr/>
      </w:pPr>
      <w:r>
        <w:rPr/>
        <w:t>результаты рассмотрения заявок с указанием, в том числе:</w:t>
      </w:r>
    </w:p>
    <w:p>
      <w:pPr>
        <w:pStyle w:val="Style20"/>
        <w:spacing w:before="120" w:after="0"/>
        <w:rPr/>
      </w:pPr>
      <w:r>
        <w:rPr/>
        <w:t>количества заявок, которые были отклонены;</w:t>
      </w:r>
    </w:p>
    <w:p>
      <w:pPr>
        <w:pStyle w:val="Style20"/>
        <w:spacing w:before="0" w:after="0"/>
        <w:rPr/>
      </w:pPr>
      <w:r>
        <w:rPr/>
        <w:t>оснований отклонения каждой заявки с указанием положений Документации о закупке, которым не соответствует такая заявка;</w:t>
      </w:r>
    </w:p>
    <w:p>
      <w:pPr>
        <w:pStyle w:val="Style19"/>
        <w:spacing w:before="120" w:after="0"/>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19"/>
        <w:keepNext w:val="true"/>
        <w:spacing w:before="0" w:after="0"/>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0"/>
        <w:spacing w:before="120" w:after="0"/>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0"/>
        <w:spacing w:before="0" w:after="0"/>
        <w:rPr/>
      </w:pPr>
      <w:r>
        <w:rPr/>
        <w:t>порядкового номера каждой допущенной заявки в предварительной ранжировке заявок, включая стоимость заявки (цену Договора);</w:t>
      </w:r>
    </w:p>
    <w:p>
      <w:pPr>
        <w:pStyle w:val="Style19"/>
        <w:rPr/>
      </w:pPr>
      <w:bookmarkStart w:id="154" w:name="_Ref125551524"/>
      <w:r>
        <w:rPr/>
        <w:t>решение о проведении или непроведении переторжки,</w:t>
      </w:r>
      <w:bookmarkEnd w:id="154"/>
    </w:p>
    <w:p>
      <w:pPr>
        <w:pStyle w:val="Style22"/>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18"/>
        <w:spacing w:before="120" w:after="0"/>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18"/>
        <w:spacing w:before="0" w:after="0"/>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18"/>
        <w:spacing w:before="0" w:after="0"/>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17"/>
        <w:spacing w:before="360" w:after="0"/>
        <w:rPr/>
      </w:pPr>
      <w:bookmarkStart w:id="155" w:name="_Toc230928851"/>
      <w:bookmarkStart w:id="156" w:name="_Ref125362610"/>
      <w:bookmarkStart w:id="157" w:name="_Ref125362464"/>
      <w:bookmarkStart w:id="158" w:name="_Ref125362425"/>
      <w:bookmarkStart w:id="159" w:name="_Ref125362381"/>
      <w:r>
        <w:rPr/>
        <w:t>Дополнительные запросы разъяснений заявок</w:t>
      </w:r>
      <w:bookmarkEnd w:id="155"/>
      <w:bookmarkEnd w:id="156"/>
      <w:bookmarkEnd w:id="157"/>
      <w:bookmarkEnd w:id="158"/>
      <w:bookmarkEnd w:id="159"/>
    </w:p>
    <w:p>
      <w:pPr>
        <w:pStyle w:val="Style18"/>
        <w:spacing w:before="120" w:after="0"/>
        <w:rPr/>
      </w:pPr>
      <w:bookmarkStart w:id="160"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0"/>
    </w:p>
    <w:p>
      <w:pPr>
        <w:pStyle w:val="Style19"/>
        <w:keepNext w:val="true"/>
        <w:spacing w:before="120" w:after="0"/>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0"/>
        <w:spacing w:before="120" w:after="0"/>
        <w:rPr/>
      </w:pPr>
      <w:r>
        <w:rPr/>
        <w:t>соответствия Участника требованиям Документации о закупке;</w:t>
      </w:r>
    </w:p>
    <w:p>
      <w:pPr>
        <w:pStyle w:val="Style20"/>
        <w:spacing w:before="0" w:after="0"/>
        <w:rPr/>
      </w:pPr>
      <w:r>
        <w:rPr/>
        <w:t>наличия соответствующих полномочий на подписание заявки от имени Участника у лица, подписавшего заявку;</w:t>
      </w:r>
    </w:p>
    <w:p>
      <w:pPr>
        <w:pStyle w:val="Style20"/>
        <w:spacing w:before="0" w:after="0"/>
        <w:rPr/>
      </w:pPr>
      <w:r>
        <w:rPr/>
        <w:t>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_Ref186213053 \r \h </w:instrText>
      </w:r>
      <w:r>
        <w:rPr/>
        <w:fldChar w:fldCharType="separate"/>
      </w:r>
      <w:r>
        <w:rPr/>
        <w:t>4.13</w:t>
      </w:r>
      <w:r>
        <w:rPr/>
        <w:fldChar w:fldCharType="end"/>
      </w:r>
      <w:r>
        <w:rPr/>
        <w:t>)), договорных условий и расчета цены Договора;</w:t>
      </w:r>
    </w:p>
    <w:p>
      <w:pPr>
        <w:pStyle w:val="Style19"/>
        <w:spacing w:before="120" w:after="0"/>
        <w:rPr/>
      </w:pPr>
      <w:bookmarkStart w:id="161"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19"/>
        <w:spacing w:before="0" w:after="0"/>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 или осуществить оценку и сопоставление заявок.</w:t>
      </w:r>
      <w:bookmarkEnd w:id="161"/>
    </w:p>
    <w:p>
      <w:pPr>
        <w:pStyle w:val="Style18"/>
        <w:spacing w:before="120" w:after="0"/>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18"/>
        <w:spacing w:before="0" w:after="0"/>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18"/>
        <w:spacing w:before="0" w:after="0"/>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18"/>
        <w:spacing w:before="0" w:after="0"/>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18"/>
        <w:spacing w:before="0" w:after="0"/>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18"/>
        <w:spacing w:before="0" w:after="0"/>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18"/>
        <w:spacing w:before="0" w:after="0"/>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17"/>
        <w:spacing w:before="360" w:after="0"/>
        <w:rPr/>
      </w:pPr>
      <w:bookmarkStart w:id="162" w:name="_Toc230928852"/>
      <w:bookmarkStart w:id="163" w:name="_Ref125362537"/>
      <w:bookmarkStart w:id="164" w:name="_Ref125362430"/>
      <w:bookmarkStart w:id="165" w:name="_Ref127536359"/>
      <w:r>
        <w:rPr/>
        <w:t>Переторжка</w:t>
      </w:r>
      <w:bookmarkEnd w:id="162"/>
      <w:bookmarkEnd w:id="163"/>
      <w:bookmarkEnd w:id="164"/>
      <w:bookmarkEnd w:id="165"/>
    </w:p>
    <w:p>
      <w:pPr>
        <w:pStyle w:val="Style18"/>
        <w:spacing w:before="120" w:after="0"/>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pPr>
        <w:pStyle w:val="Style18"/>
        <w:spacing w:before="0" w:after="0"/>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18"/>
        <w:keepNext w:val="true"/>
        <w:spacing w:before="0" w:after="0"/>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19"/>
        <w:spacing w:before="120" w:after="0"/>
        <w:rPr/>
      </w:pPr>
      <w:r>
        <w:rPr/>
        <w:t>стоимость заявки (цена Договора) / цена за единицу продукции;</w:t>
      </w:r>
    </w:p>
    <w:p>
      <w:pPr>
        <w:pStyle w:val="Style19"/>
        <w:spacing w:before="0" w:after="0"/>
        <w:rPr/>
      </w:pPr>
      <w:r>
        <w:rPr/>
        <w:t>сроки поставки продукции;</w:t>
      </w:r>
    </w:p>
    <w:p>
      <w:pPr>
        <w:pStyle w:val="Style19"/>
        <w:spacing w:before="0" w:after="0"/>
        <w:rPr/>
      </w:pPr>
      <w:r>
        <w:rPr/>
        <w:t>условия оплаты;</w:t>
      </w:r>
    </w:p>
    <w:p>
      <w:pPr>
        <w:pStyle w:val="Style19"/>
        <w:spacing w:before="0" w:after="0"/>
        <w:rPr/>
      </w:pPr>
      <w:r>
        <w:rPr/>
        <w:t>иные условия, которые являются критериями оценки заявок.</w:t>
      </w:r>
    </w:p>
    <w:p>
      <w:pPr>
        <w:pStyle w:val="Style22"/>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18"/>
        <w:spacing w:before="120" w:after="0"/>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18"/>
        <w:spacing w:before="0" w:after="0"/>
        <w:rPr/>
      </w:pPr>
      <w:r>
        <w:rPr/>
        <w:t>В переторжке может принять участие любой Участник, заявка которого не была отклонена по результатам рассмотрения заявок.</w:t>
      </w:r>
    </w:p>
    <w:p>
      <w:pPr>
        <w:pStyle w:val="Style18"/>
        <w:spacing w:before="0" w:after="0"/>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tgtFrame="#Прил04_ФормыЗаявки">
        <w:r>
          <w:rPr>
            <w:rStyle w:val="Style6"/>
          </w:rPr>
          <w:t>Приложение № 4</w:t>
        </w:r>
      </w:hyperlink>
      <w:r>
        <w:rPr/>
        <w:t>).</w:t>
      </w:r>
    </w:p>
    <w:p>
      <w:pPr>
        <w:pStyle w:val="Style18"/>
        <w:spacing w:before="0" w:after="0"/>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18"/>
        <w:spacing w:before="0" w:after="0"/>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18"/>
        <w:spacing w:before="0" w:after="0"/>
        <w:rPr/>
      </w:pPr>
      <w:r>
        <w:rPr/>
        <w:t>Участник не вправе изменять и (или) отзывать поданные предложения на переторжку после окончания ее проведения.</w:t>
      </w:r>
    </w:p>
    <w:p>
      <w:pPr>
        <w:pStyle w:val="Style18"/>
        <w:spacing w:before="0" w:after="0"/>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18"/>
        <w:spacing w:before="0" w:after="0"/>
        <w:rPr/>
      </w:pPr>
      <w:r>
        <w:rPr/>
        <w:t>Процедура переторжки проводится на ЭП в порядке, предусмотренном настоящим подразделом и Регламентом ЭП.</w:t>
      </w:r>
    </w:p>
    <w:p>
      <w:pPr>
        <w:pStyle w:val="Style18"/>
        <w:keepNext w:val="true"/>
        <w:spacing w:before="0" w:after="0"/>
        <w:rPr/>
      </w:pPr>
      <w:r>
        <w:rPr/>
        <w:t>В зависимости от правил, предусмотренных Регламентом ЭП, переторжка может проводиться:</w:t>
      </w:r>
    </w:p>
    <w:p>
      <w:pPr>
        <w:pStyle w:val="Style19"/>
        <w:spacing w:before="120" w:after="0"/>
        <w:rPr/>
      </w:pPr>
      <w:r>
        <w:rPr/>
        <w:t>в заочной форме путем однократной подачи предложения на переторжку к установленному сроку;</w:t>
      </w:r>
    </w:p>
    <w:p>
      <w:pPr>
        <w:pStyle w:val="Style19"/>
        <w:spacing w:before="0" w:after="0"/>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18"/>
        <w:spacing w:before="120" w:after="0"/>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18"/>
        <w:spacing w:before="0" w:after="0"/>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18"/>
        <w:spacing w:before="0" w:after="0"/>
        <w:rPr/>
      </w:pPr>
      <w:bookmarkStart w:id="166"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66"/>
    </w:p>
    <w:p>
      <w:pPr>
        <w:pStyle w:val="Style18"/>
        <w:spacing w:before="0" w:after="0"/>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18"/>
        <w:keepNext w:val="true"/>
        <w:spacing w:before="0" w:after="0"/>
        <w:rPr/>
      </w:pPr>
      <w:bookmarkStart w:id="167" w:name="_Ref136244167"/>
      <w:r>
        <w:rPr/>
        <w:t>Документы заявки, подлежащие корректировке по результатам переторжки:</w:t>
      </w:r>
      <w:bookmarkEnd w:id="167"/>
    </w:p>
    <w:p>
      <w:pPr>
        <w:pStyle w:val="Style19"/>
        <w:spacing w:before="120" w:after="0"/>
        <w:rPr/>
      </w:pPr>
      <w:r>
        <w:rPr/>
        <w:t>Письмо о подаче оферты (форма 2) (</w:t>
      </w:r>
      <w:hyperlink w:anchor="Прил04_ФормыЗаявки" w:tgtFrame="#Прил04_ФормыЗаявки">
        <w:r>
          <w:rPr>
            <w:rStyle w:val="Style6"/>
          </w:rPr>
          <w:t>Приложение № 4</w:t>
        </w:r>
      </w:hyperlink>
      <w:r>
        <w:rPr/>
        <w:t>);</w:t>
      </w:r>
    </w:p>
    <w:p>
      <w:pPr>
        <w:pStyle w:val="Style19"/>
        <w:spacing w:before="0" w:after="0"/>
        <w:rPr/>
      </w:pPr>
      <w:r>
        <w:rPr/>
        <w:t>Коммерческое предложение (форма 3) (</w:t>
      </w:r>
      <w:hyperlink w:anchor="Прил04_ФормыЗаявки" w:tgtFrame="#Прил04_ФормыЗаявки">
        <w:r>
          <w:rPr>
            <w:rStyle w:val="Style6"/>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tgtFrame="#Прил01_ТехТребования">
        <w:r>
          <w:rPr>
            <w:rStyle w:val="Style6"/>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19"/>
        <w:spacing w:before="0" w:after="0"/>
        <w:rPr/>
      </w:pPr>
      <w:r>
        <w:rPr/>
        <w:t>План распределения объемов поставки продукции (форма 10) (</w:t>
      </w:r>
      <w:hyperlink w:anchor="Прил04_ФормыЗаявки" w:tgtFrame="#Прил04_ФормыЗаявки">
        <w:r>
          <w:rPr>
            <w:rStyle w:val="Style6"/>
          </w:rPr>
          <w:t>Приложение № 4</w:t>
        </w:r>
      </w:hyperlink>
      <w:r>
        <w:rPr/>
        <w:t>) – только если заявка подана Коллективным участником или Генеральным подрядчиком;</w:t>
      </w:r>
    </w:p>
    <w:p>
      <w:pPr>
        <w:pStyle w:val="Style19"/>
        <w:spacing w:before="0" w:after="0"/>
        <w:rPr/>
      </w:pPr>
      <w:bookmarkStart w:id="168" w:name="_Ref130376111"/>
      <w:r>
        <w:rPr/>
        <w:t>иной документ, указанный в протоколе закупки (которым назначена переторжка), связанный с предметом проводимой переторжки.</w:t>
      </w:r>
      <w:bookmarkEnd w:id="168"/>
    </w:p>
    <w:p>
      <w:pPr>
        <w:pStyle w:val="Style18"/>
        <w:spacing w:before="120" w:after="0"/>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18"/>
        <w:spacing w:before="0" w:after="0"/>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18"/>
        <w:spacing w:before="0" w:after="0"/>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17"/>
        <w:spacing w:before="360" w:after="0"/>
        <w:rPr/>
      </w:pPr>
      <w:bookmarkStart w:id="169" w:name="_Ref125362626"/>
      <w:bookmarkStart w:id="170" w:name="_Ref125369041"/>
      <w:bookmarkStart w:id="171" w:name="_Toc230928853"/>
      <w:bookmarkStart w:id="172" w:name="_Ref125369308"/>
      <w:bookmarkStart w:id="173" w:name="_Ref125365335"/>
      <w:bookmarkStart w:id="174" w:name="_Ref125366534"/>
      <w:bookmarkStart w:id="175" w:name="_Ref125365519"/>
      <w:r>
        <w:rPr/>
        <w:t>Оценка и сопоставление заявок</w:t>
      </w:r>
      <w:bookmarkEnd w:id="169"/>
      <w:bookmarkEnd w:id="170"/>
      <w:bookmarkEnd w:id="171"/>
      <w:bookmarkEnd w:id="172"/>
      <w:bookmarkEnd w:id="173"/>
      <w:bookmarkEnd w:id="174"/>
      <w:bookmarkEnd w:id="175"/>
    </w:p>
    <w:p>
      <w:pPr>
        <w:pStyle w:val="Style18"/>
        <w:spacing w:before="120" w:after="0"/>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tgtFrame="#Прил08_ПорядокОценки">
        <w:r>
          <w:rPr>
            <w:rStyle w:val="Style6"/>
          </w:rPr>
          <w:t>Порядком и критериями оценки и сопоставления заявок (Приложение № 8)</w:t>
        </w:r>
      </w:hyperlink>
      <w:r>
        <w:rPr>
          <w:rStyle w:val="Style6"/>
        </w:rPr>
        <w:t>.</w:t>
      </w:r>
      <w:r>
        <w:rPr/>
        <w:t xml:space="preserve">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 а также если проводилась переторжка (подраздел </w:t>
      </w:r>
      <w:r>
        <w:rPr/>
        <w:fldChar w:fldCharType="begin"/>
      </w:r>
      <w:r>
        <w:rPr/>
        <w:instrText xml:space="preserve"> REF _Ref125362430 \r \h </w:instrText>
      </w:r>
      <w:r>
        <w:rPr/>
        <w:fldChar w:fldCharType="separate"/>
      </w:r>
      <w:r>
        <w:rPr/>
        <w:t>4.11</w:t>
      </w:r>
      <w:r>
        <w:rPr/>
        <w:fldChar w:fldCharType="end"/>
      </w:r>
      <w:r>
        <w:rPr/>
        <w:t>), с учетом даты и времени последнего изменения заявки на ЭП, обусловленного переторжкой).</w:t>
      </w:r>
    </w:p>
    <w:p>
      <w:pPr>
        <w:pStyle w:val="Style18"/>
        <w:spacing w:before="0" w:after="0"/>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18"/>
        <w:spacing w:before="0" w:after="0"/>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18"/>
        <w:spacing w:before="0" w:after="0"/>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18"/>
        <w:spacing w:before="0" w:after="0"/>
        <w:rPr/>
      </w:pPr>
      <w:r>
        <w:rPr/>
        <w:t>Результаты оценки и сопоставления заявок вносятся в итоговый протокол по результатам закупки.</w:t>
      </w:r>
    </w:p>
    <w:p>
      <w:pPr>
        <w:pStyle w:val="Style17"/>
        <w:spacing w:before="360" w:after="0"/>
        <w:rPr/>
      </w:pPr>
      <w:bookmarkStart w:id="176" w:name="_Ref130458671"/>
      <w:bookmarkStart w:id="177" w:name="_Ref125370507"/>
      <w:bookmarkStart w:id="178" w:name="_Ref125369991"/>
      <w:bookmarkStart w:id="179" w:name="_Ref125366064"/>
      <w:bookmarkStart w:id="180" w:name="_Toc230928854"/>
      <w:bookmarkStart w:id="181" w:name="_Ref132894111"/>
      <w:bookmarkStart w:id="182" w:name="_Ref132894106"/>
      <w:bookmarkStart w:id="183" w:name="_Ref130985951"/>
      <w:bookmarkStart w:id="184" w:name="_Ref186213053"/>
      <w:r>
        <w:rPr/>
        <w:t>Применение законодательства о национальном режиме</w:t>
      </w:r>
      <w:bookmarkEnd w:id="176"/>
      <w:bookmarkEnd w:id="177"/>
      <w:bookmarkEnd w:id="178"/>
      <w:bookmarkEnd w:id="179"/>
      <w:bookmarkEnd w:id="180"/>
      <w:bookmarkEnd w:id="181"/>
      <w:bookmarkEnd w:id="182"/>
      <w:bookmarkEnd w:id="183"/>
      <w:bookmarkEnd w:id="184"/>
    </w:p>
    <w:p>
      <w:pPr>
        <w:pStyle w:val="Style18"/>
        <w:spacing w:before="120" w:after="0"/>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18"/>
        <w:spacing w:before="0" w:after="0"/>
        <w:rPr/>
      </w:pPr>
      <w:bookmarkStart w:id="185" w:name="_Ref207280314"/>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85"/>
    </w:p>
    <w:p>
      <w:pPr>
        <w:pStyle w:val="Style18"/>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18"/>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8"/>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w:t>
      </w:r>
      <w:bookmarkStart w:id="186" w:name="_Hlk198901350"/>
      <w:r>
        <w:rPr/>
        <w:t>(в том числе поставляемых при выполнении закупаемых работ, оказании закупаемых услуг))</w:t>
      </w:r>
      <w:bookmarkEnd w:id="186"/>
      <w:r>
        <w:rPr/>
        <w:t>, при условии наличия допущенной заявки с иностранной продукцией (на поставку товара иностранного происхождения).</w:t>
      </w:r>
    </w:p>
    <w:p>
      <w:pPr>
        <w:pStyle w:val="Style18"/>
        <w:spacing w:before="0" w:after="0"/>
        <w:rPr/>
      </w:pPr>
      <w:bookmarkStart w:id="187" w:name="_Ref196303561"/>
      <w:bookmarkStart w:id="188" w:name="_Ref19270078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87"/>
      <w:bookmarkEnd w:id="188"/>
    </w:p>
    <w:p>
      <w:pPr>
        <w:pStyle w:val="Style18"/>
        <w:spacing w:before="0" w:after="0"/>
        <w:rPr/>
      </w:pPr>
      <w:r>
        <w:rP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_Ref207280314 \r \h </w:instrText>
      </w:r>
      <w:r>
        <w:rPr/>
        <w:fldChar w:fldCharType="separate"/>
      </w:r>
      <w:r>
        <w:rPr/>
        <w:t>4.13.2</w:t>
      </w:r>
      <w:r>
        <w:rPr/>
        <w:fldChar w:fldCharType="end"/>
      </w:r>
      <w:r>
        <w:rPr/>
        <w:t xml:space="preserve"> – </w:t>
      </w:r>
      <w:r>
        <w:rPr/>
        <w:fldChar w:fldCharType="begin"/>
      </w:r>
      <w:r>
        <w:rPr/>
        <w:instrText xml:space="preserve"> REF _Ref192700787 \r \h </w:instrText>
      </w:r>
      <w:r>
        <w:rPr/>
        <w:fldChar w:fldCharType="separate"/>
      </w:r>
      <w:r>
        <w:rPr/>
        <w:t>4.13.5</w:t>
      </w:r>
      <w:r>
        <w:rPr/>
        <w:fldChar w:fldCharType="end"/>
      </w:r>
      <w:r>
        <w:rPr/>
        <w:t>), установлены в Структуре НМЦ (в составе Коммерческого предложения (форма 3) (</w:t>
      </w:r>
      <w:hyperlink w:anchor="Прил04_ФормыЗаявки" w:tgtFrame="#Прил04_ФормыЗаявки">
        <w:r>
          <w:rPr>
            <w:rStyle w:val="Style6"/>
          </w:rPr>
          <w:t>Приложение № 4</w:t>
        </w:r>
      </w:hyperlink>
      <w:r>
        <w:rPr/>
        <w:t>), а также в Технических требованиях (Приложение №1) в части установления требований к подтверждающим документам.</w:t>
      </w:r>
    </w:p>
    <w:p>
      <w:pPr>
        <w:pStyle w:val="Style18"/>
        <w:keepNext w:val="true"/>
        <w:spacing w:before="0" w:after="0"/>
        <w:rPr/>
      </w:pPr>
      <w:r>
        <w:rPr/>
        <w:t>Товар приравнивается к товарам, происходящим из иностранного государства (не являющегося государством – членом ЕАЭС), если:</w:t>
      </w:r>
    </w:p>
    <w:p>
      <w:pPr>
        <w:pStyle w:val="Style19"/>
        <w:spacing w:before="120" w:after="0"/>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19"/>
        <w:spacing w:before="0" w:after="0"/>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18"/>
        <w:spacing w:before="12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18"/>
        <w:spacing w:before="0" w:after="0"/>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18"/>
        <w:spacing w:before="0" w:after="0"/>
        <w:rPr/>
      </w:pPr>
      <w:bookmarkStart w:id="189" w:name="_Hlk191561456"/>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89"/>
      <w:r>
        <w:rPr/>
        <w:t>.</w:t>
      </w:r>
    </w:p>
    <w:p>
      <w:pPr>
        <w:pStyle w:val="Style18"/>
        <w:spacing w:before="0" w:after="0"/>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18"/>
        <w:spacing w:before="0" w:after="0"/>
        <w:rPr/>
      </w:pPr>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p>
    <w:p>
      <w:pPr>
        <w:pStyle w:val="Style17"/>
        <w:spacing w:before="360" w:after="0"/>
        <w:rPr/>
      </w:pPr>
      <w:bookmarkStart w:id="190" w:name="_Toc230928855"/>
      <w:bookmarkStart w:id="191" w:name="_Ref125367242"/>
      <w:bookmarkStart w:id="192" w:name="_Ref125366091"/>
      <w:bookmarkStart w:id="193" w:name="_Ref125362658"/>
      <w:r>
        <w:rPr/>
        <w:t>Подведение итогов закупки (определение Победителя)</w:t>
      </w:r>
      <w:bookmarkEnd w:id="190"/>
      <w:bookmarkEnd w:id="191"/>
      <w:bookmarkEnd w:id="192"/>
      <w:bookmarkEnd w:id="193"/>
    </w:p>
    <w:p>
      <w:pPr>
        <w:pStyle w:val="Style18"/>
        <w:spacing w:before="120" w:after="0"/>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18"/>
        <w:spacing w:before="0" w:after="0"/>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18"/>
        <w:spacing w:before="0" w:after="0"/>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tgtFrame="#Прил07_ОтборочныеКритерии">
        <w:r>
          <w:rPr>
            <w:rStyle w:val="Style6"/>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18"/>
        <w:spacing w:before="0" w:after="0"/>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18"/>
        <w:keepNext w:val="true"/>
        <w:spacing w:before="0" w:after="0"/>
        <w:rPr/>
      </w:pPr>
      <w:bookmarkStart w:id="194"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9"/>
      </w:r>
      <w:r>
        <w:rPr/>
        <w:t>:</w:t>
      </w:r>
      <w:bookmarkEnd w:id="194"/>
    </w:p>
    <w:p>
      <w:pPr>
        <w:pStyle w:val="Style19"/>
        <w:spacing w:before="120" w:after="0"/>
        <w:rPr/>
      </w:pPr>
      <w:r>
        <w:rPr/>
        <w:t>дата подписания протокола;</w:t>
      </w:r>
    </w:p>
    <w:p>
      <w:pPr>
        <w:pStyle w:val="Style19"/>
        <w:spacing w:before="0" w:after="0"/>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19"/>
        <w:spacing w:before="0" w:after="0"/>
        <w:rPr/>
      </w:pPr>
      <w:r>
        <w:rPr/>
        <w:t>наименования Участников, заявки которых были допущены по результатам рассмотрения заявок, и (или) их идентификационные номера, присваиваемые Оператором ЭП;</w:t>
      </w:r>
    </w:p>
    <w:p>
      <w:pPr>
        <w:pStyle w:val="Style19"/>
        <w:keepNext w:val="true"/>
        <w:spacing w:before="0" w:after="0"/>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0"/>
        <w:spacing w:before="120" w:after="0"/>
        <w:rPr/>
      </w:pPr>
      <w:r>
        <w:rPr/>
        <w:t>количества заявок, которые были отклонены;</w:t>
      </w:r>
    </w:p>
    <w:p>
      <w:pPr>
        <w:pStyle w:val="Style20"/>
        <w:spacing w:before="0" w:after="0"/>
        <w:rPr/>
      </w:pPr>
      <w:r>
        <w:rPr/>
        <w:t>оснований отклонения каждой заявки с указанием положений Документации о закупке, которым не соответствует такая заявка;</w:t>
      </w:r>
    </w:p>
    <w:p>
      <w:pPr>
        <w:pStyle w:val="Style19"/>
        <w:spacing w:before="120" w:after="0"/>
        <w:rPr/>
      </w:pPr>
      <w:r>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19"/>
        <w:spacing w:before="0" w:after="0"/>
        <w:rPr/>
      </w:pPr>
      <w:bookmarkStart w:id="195" w:name="_Hlk149651367"/>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bookmarkEnd w:id="195"/>
    </w:p>
    <w:p>
      <w:pPr>
        <w:pStyle w:val="Style19"/>
        <w:spacing w:before="0" w:after="0"/>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19"/>
        <w:spacing w:before="0" w:after="0"/>
        <w:rPr/>
      </w:pPr>
      <w:r>
        <w:rPr/>
        <w:t>причины, по которым закупка признана несостоявшейся (в случае ее признания таковой),</w:t>
      </w:r>
    </w:p>
    <w:p>
      <w:pPr>
        <w:pStyle w:val="Style22"/>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18"/>
        <w:spacing w:before="120" w:after="0"/>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18"/>
        <w:spacing w:before="0" w:after="0"/>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17"/>
        <w:spacing w:before="360" w:after="0"/>
        <w:rPr/>
      </w:pPr>
      <w:bookmarkStart w:id="196" w:name="_Toc230928856"/>
      <w:bookmarkStart w:id="197" w:name="_Ref125366631"/>
      <w:bookmarkStart w:id="198" w:name="_Ref125366796"/>
      <w:bookmarkStart w:id="199" w:name="_Ref125365305"/>
      <w:bookmarkStart w:id="200" w:name="_Ref125364187"/>
      <w:bookmarkStart w:id="201" w:name="_Ref125364149"/>
      <w:bookmarkStart w:id="202" w:name="_Ref125365570"/>
      <w:r>
        <w:rPr/>
        <w:t>Признание закупки несостоявшейся</w:t>
      </w:r>
      <w:bookmarkEnd w:id="196"/>
      <w:bookmarkEnd w:id="197"/>
      <w:bookmarkEnd w:id="198"/>
      <w:bookmarkEnd w:id="199"/>
      <w:bookmarkEnd w:id="200"/>
      <w:bookmarkEnd w:id="201"/>
      <w:bookmarkEnd w:id="202"/>
    </w:p>
    <w:p>
      <w:pPr>
        <w:pStyle w:val="Style18"/>
        <w:keepNext w:val="true"/>
        <w:spacing w:before="120" w:after="0"/>
        <w:rPr/>
      </w:pPr>
      <w:r>
        <w:rPr/>
        <w:t>Закупка признается несостоявшейся в следующих случаях:</w:t>
      </w:r>
    </w:p>
    <w:p>
      <w:pPr>
        <w:pStyle w:val="Style19"/>
        <w:spacing w:before="120" w:after="0"/>
        <w:rPr/>
      </w:pPr>
      <w:r>
        <w:rPr/>
        <w:t>если по окончанию срока подачи заявок поступило менее 2 (двух) заявок (с учетом возможных отзывов заявок);</w:t>
      </w:r>
    </w:p>
    <w:p>
      <w:pPr>
        <w:pStyle w:val="Style19"/>
        <w:spacing w:before="0" w:after="0"/>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19"/>
        <w:spacing w:before="0" w:after="0"/>
        <w:rPr/>
      </w:pPr>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5.4</w:t>
      </w:r>
      <w:r>
        <w:rPr/>
        <w:fldChar w:fldCharType="end"/>
      </w:r>
      <w:r>
        <w:rPr/>
        <w:t>).</w:t>
      </w:r>
    </w:p>
    <w:p>
      <w:pPr>
        <w:pStyle w:val="Style18"/>
        <w:spacing w:before="120" w:after="0"/>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18"/>
        <w:keepNext w:val="true"/>
        <w:spacing w:before="0" w:after="0"/>
        <w:rPr/>
      </w:pPr>
      <w:r>
        <w:rPr/>
        <w:t>В случае признания закупки несостоявшейся (с учетом условий, предусмотренных Положением о закупке):</w:t>
      </w:r>
    </w:p>
    <w:p>
      <w:pPr>
        <w:pStyle w:val="Style19"/>
        <w:rPr/>
      </w:pPr>
      <w:r>
        <w:rPr/>
        <w:t>если поступила только 1 (одна) заявка от одного Участника (с учетом отозванных Участниками заявок), либо по результатам рассмотрения заявок (или постквалификации, если проводилась)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26"/>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9"/>
        </w:numPr>
        <w:tabs>
          <w:tab w:val="clear" w:pos="2552"/>
        </w:tabs>
        <w:spacing w:before="0" w:after="0"/>
        <w:ind w:left="2127" w:hanging="426"/>
        <w:rPr>
          <w:sz w:val="26"/>
          <w:szCs w:val="26"/>
        </w:rPr>
      </w:pPr>
      <w:r>
        <w:rPr>
          <w:sz w:val="26"/>
          <w:szCs w:val="26"/>
        </w:rPr>
        <w:t>повторное проведение закупки (с изменением способа закупки, если применимо в соответствии с Положением о закупке);</w:t>
      </w:r>
    </w:p>
    <w:p>
      <w:pPr>
        <w:pStyle w:val="-1"/>
        <w:numPr>
          <w:ilvl w:val="0"/>
          <w:numId w:val="19"/>
        </w:numPr>
        <w:tabs>
          <w:tab w:val="clear" w:pos="2552"/>
        </w:tabs>
        <w:spacing w:before="0" w:after="0"/>
        <w:ind w:left="1701" w:hanging="0"/>
        <w:rPr>
          <w:sz w:val="26"/>
          <w:szCs w:val="26"/>
        </w:rPr>
      </w:pPr>
      <w:r>
        <w:rPr>
          <w:sz w:val="26"/>
          <w:szCs w:val="26"/>
        </w:rPr>
        <w:t>отказ от заключения договора по следующим основаниям:</w:t>
      </w:r>
    </w:p>
    <w:p>
      <w:pPr>
        <w:pStyle w:val="-1"/>
        <w:numPr>
          <w:ilvl w:val="0"/>
          <w:numId w:val="20"/>
        </w:numPr>
        <w:tabs>
          <w:tab w:val="clear" w:pos="2552"/>
        </w:tabs>
        <w:spacing w:before="0" w:after="0"/>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20"/>
        </w:numPr>
        <w:tabs>
          <w:tab w:val="clear" w:pos="2552"/>
        </w:tabs>
        <w:spacing w:before="0" w:after="0"/>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20"/>
        </w:numPr>
        <w:tabs>
          <w:tab w:val="clear" w:pos="2552"/>
        </w:tabs>
        <w:spacing w:before="0" w:after="0"/>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9"/>
        </w:numPr>
        <w:tabs>
          <w:tab w:val="clear" w:pos="2552"/>
        </w:tabs>
        <w:ind w:left="2127" w:hanging="426"/>
        <w:rPr>
          <w:sz w:val="26"/>
          <w:szCs w:val="26"/>
        </w:rPr>
      </w:pPr>
      <w:bookmarkStart w:id="203"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203"/>
    </w:p>
    <w:p>
      <w:pPr>
        <w:pStyle w:val="Style19"/>
        <w:rPr/>
      </w:pPr>
      <w:r>
        <w:rPr/>
        <w:t>если не поступило ни одной заявки, либо по результатам рассмотрения заявок (или постквалификации, если проводилась), принято решение о признании их не соответствующими требованиям Документации о закупке, либо по результатам проведения закупки от заключения договора уклонились все допущенные Участники – Заказчик проводит повторную закупку (с изменением способа закупки, если применимо в соответствии с Положением о закупке).</w:t>
      </w:r>
    </w:p>
    <w:p>
      <w:pPr>
        <w:pStyle w:val="Style26"/>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20"/>
        </w:numPr>
        <w:tabs>
          <w:tab w:val="clear" w:pos="2552"/>
        </w:tabs>
        <w:spacing w:before="0" w:after="0"/>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20"/>
        </w:numPr>
        <w:tabs>
          <w:tab w:val="clear" w:pos="2552"/>
        </w:tabs>
        <w:spacing w:before="0" w:after="0"/>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Style19"/>
        <w:numPr>
          <w:ilvl w:val="0"/>
          <w:numId w:val="17"/>
        </w:numPr>
        <w:ind w:left="2127" w:hanging="426"/>
        <w:rPr/>
      </w:pPr>
      <w:r>
        <w:rPr>
          <w:szCs w:val="26"/>
        </w:rPr>
        <w:t>при отсутствии заявок, соответствующих установленным требованиям, по результатам повторного проведения закупки</w:t>
      </w:r>
      <w:bookmarkStart w:id="204" w:name="_Hlk214281858"/>
      <w:r>
        <w:rPr/>
        <w:t>.</w:t>
      </w:r>
    </w:p>
    <w:p>
      <w:pPr>
        <w:pStyle w:val="Style17"/>
        <w:spacing w:before="360" w:after="0"/>
        <w:rPr/>
      </w:pPr>
      <w:bookmarkStart w:id="205" w:name="_Toc230928857"/>
      <w:bookmarkStart w:id="206" w:name="_Ref126141962"/>
      <w:bookmarkEnd w:id="204"/>
      <w:r>
        <w:rPr/>
        <w:t>Отказ от проведения закупки</w:t>
      </w:r>
      <w:bookmarkEnd w:id="206"/>
      <w:r>
        <w:rPr/>
        <w:t xml:space="preserve"> (отмена закупки)</w:t>
      </w:r>
      <w:bookmarkEnd w:id="205"/>
    </w:p>
    <w:p>
      <w:pPr>
        <w:pStyle w:val="Style18"/>
        <w:spacing w:before="120" w:after="0"/>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18"/>
        <w:spacing w:before="0" w:after="0"/>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18"/>
        <w:spacing w:before="0" w:after="0"/>
        <w:rPr/>
      </w:pPr>
      <w:r>
        <w:rPr/>
        <w:t>Дополнительно организатор уведомляет всех Участников об отмене закупки посредством ЭП.</w:t>
      </w:r>
    </w:p>
    <w:p>
      <w:pPr>
        <w:pStyle w:val="Style18"/>
        <w:spacing w:before="0" w:after="0"/>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17"/>
        <w:spacing w:before="360" w:after="0"/>
        <w:rPr/>
      </w:pPr>
      <w:bookmarkStart w:id="207" w:name="_Toc230928858"/>
      <w:bookmarkStart w:id="208" w:name="_Ref130455226"/>
      <w:r>
        <w:rPr/>
        <w:t>Особенности проведения закупки с необходимостью обеспечения заявки</w:t>
      </w:r>
      <w:bookmarkEnd w:id="207"/>
      <w:bookmarkEnd w:id="208"/>
    </w:p>
    <w:p>
      <w:pPr>
        <w:pStyle w:val="Style18"/>
        <w:spacing w:before="120" w:after="0"/>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18"/>
        <w:spacing w:before="0" w:after="0"/>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18"/>
        <w:spacing w:before="0" w:after="0"/>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18"/>
        <w:spacing w:before="0" w:after="0"/>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индивидуальный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18"/>
        <w:spacing w:before="0" w:after="0"/>
        <w:rPr/>
      </w:pPr>
      <w:r>
        <w:rPr/>
        <w:t>В случае выбора Участником обеспечения заявки путем предоставления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19"/>
        <w:spacing w:before="120" w:after="0"/>
        <w:rPr/>
      </w:pPr>
      <w:r>
        <w:rPr/>
        <w:t>банковская гарантия должна быть безотзывной и безусловной (гарантия по первому требованию);</w:t>
      </w:r>
    </w:p>
    <w:p>
      <w:pPr>
        <w:pStyle w:val="Style19"/>
        <w:spacing w:before="0" w:after="0"/>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19"/>
        <w:spacing w:before="0" w:after="0"/>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19"/>
        <w:spacing w:before="0" w:after="0"/>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19"/>
        <w:spacing w:before="0" w:after="0"/>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_Ref228966528 \r \h </w:instrText>
      </w:r>
      <w:r>
        <w:rPr/>
        <w:fldChar w:fldCharType="separate"/>
      </w:r>
      <w:r>
        <w:rPr/>
        <w:t>4.17.11</w:t>
      </w:r>
      <w:r>
        <w:rPr/>
        <w:fldChar w:fldCharType="end"/>
      </w:r>
      <w:r>
        <w:rPr/>
        <w:t>;</w:t>
      </w:r>
    </w:p>
    <w:p>
      <w:pPr>
        <w:pStyle w:val="Style19"/>
        <w:spacing w:before="0" w:after="0"/>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19"/>
        <w:spacing w:before="0" w:after="0"/>
        <w:rPr/>
      </w:pPr>
      <w:r>
        <w:rPr/>
        <w:t>платеж по банковской гарантии должен быть осуществлен в течение 10 (десяти) рабочих дней после обращения бенефициара;</w:t>
      </w:r>
    </w:p>
    <w:p>
      <w:pPr>
        <w:pStyle w:val="Style19"/>
        <w:spacing w:before="0" w:after="0"/>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19"/>
        <w:spacing w:before="0" w:after="0"/>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0"/>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19"/>
        <w:spacing w:before="0" w:after="0"/>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w:t>
      </w:r>
      <w:r>
        <w:rPr>
          <w:rStyle w:val="FootnoteReference"/>
        </w:rPr>
        <w:footnoteReference w:id="11"/>
      </w:r>
      <w:r>
        <w:rPr/>
        <w:t xml:space="preserve"> в качестве органа, компетентного разрешать споры из банковской гарантии.</w:t>
      </w:r>
    </w:p>
    <w:p>
      <w:pPr>
        <w:pStyle w:val="Style18"/>
        <w:spacing w:before="120" w:after="0"/>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18"/>
        <w:spacing w:before="0" w:after="0"/>
        <w:rPr/>
      </w:pPr>
      <w:r>
        <w:rPr/>
        <w:t>При многолотовой закупке (подраздел </w:t>
      </w:r>
      <w:r>
        <w:rPr/>
        <w:fldChar w:fldCharType="begin"/>
      </w:r>
      <w:r>
        <w:rPr/>
        <w:instrText xml:space="preserve"> REF _Ref149317278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18"/>
        <w:spacing w:before="0" w:after="0"/>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18"/>
        <w:spacing w:before="0" w:after="0"/>
        <w:rPr/>
      </w:pPr>
      <w:r>
        <w:rPr/>
        <w:t>Подать заявку (принять участие в закупке) могут только Участники, предоставившие надлежащее обеспечение их заявок.</w:t>
      </w:r>
    </w:p>
    <w:p>
      <w:pPr>
        <w:pStyle w:val="Style18"/>
        <w:spacing w:before="0" w:after="0"/>
        <w:rPr/>
      </w:pPr>
      <w:r>
        <w:rPr/>
        <w:t>Требование об обеспечении заявки в равной мере распространяется на всех Участников.</w:t>
      </w:r>
    </w:p>
    <w:p>
      <w:pPr>
        <w:pStyle w:val="Style18"/>
        <w:keepNext w:val="true"/>
        <w:spacing w:before="0" w:after="0"/>
        <w:rPr/>
      </w:pPr>
      <w:bookmarkStart w:id="209" w:name="_Ref228966528"/>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9"/>
    </w:p>
    <w:p>
      <w:pPr>
        <w:pStyle w:val="Style19"/>
        <w:spacing w:before="120" w:after="0"/>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tgtFrame="#Прил05_ФормыПобедителя">
        <w:r>
          <w:rPr>
            <w:rStyle w:val="Style6"/>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19"/>
        <w:spacing w:before="0" w:after="0"/>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tgtFrame="#Прил02_ПроектДоговора">
        <w:r>
          <w:rPr>
            <w:rStyle w:val="Style6"/>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tgtFrame="#Прил02_ПроектДоговора">
        <w:r>
          <w:rPr>
            <w:rStyle w:val="Style6"/>
          </w:rPr>
          <w:t>Проектом договора</w:t>
        </w:r>
      </w:hyperlink>
      <w:r>
        <w:rPr/>
        <w:t>).</w:t>
      </w:r>
    </w:p>
    <w:p>
      <w:pPr>
        <w:pStyle w:val="Style18"/>
        <w:spacing w:before="120" w:after="0"/>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соответствующий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18"/>
        <w:keepNext w:val="true"/>
        <w:spacing w:before="0" w:after="0"/>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20 (двадцати) рабочих дней с даты:</w:t>
      </w:r>
    </w:p>
    <w:p>
      <w:pPr>
        <w:pStyle w:val="Style19"/>
        <w:spacing w:before="120" w:after="0"/>
        <w:rPr/>
      </w:pPr>
      <w:r>
        <w:rPr/>
        <w:t>принятия решения об отказе от проведения закупки – всем Участникам, подавшим заявки к моменту принятия такого решения;</w:t>
      </w:r>
    </w:p>
    <w:p>
      <w:pPr>
        <w:pStyle w:val="Style19"/>
        <w:spacing w:before="0" w:after="0"/>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19"/>
        <w:spacing w:before="0" w:after="0"/>
        <w:rPr/>
      </w:pPr>
      <w:r>
        <w:rPr/>
        <w:t>официального размещения протокола рассмотрения заявок (при условии его оформления) – Участникам, чьи заявки были отклонены;</w:t>
      </w:r>
    </w:p>
    <w:p>
      <w:pPr>
        <w:pStyle w:val="Style19"/>
        <w:spacing w:before="0" w:after="0"/>
        <w:rPr/>
      </w:pPr>
      <w:r>
        <w:rPr/>
        <w:t>официального размещения итогового протокола по результатам закупки – всем Участникам, кроме Победителя;</w:t>
      </w:r>
    </w:p>
    <w:p>
      <w:pPr>
        <w:pStyle w:val="Style19"/>
        <w:spacing w:before="0" w:after="0"/>
        <w:rPr/>
      </w:pPr>
      <w:r>
        <w:rPr/>
        <w:t>заключения Договора по результатам закупки – Победителю, с которым заключен Договор;</w:t>
      </w:r>
    </w:p>
    <w:p>
      <w:pPr>
        <w:pStyle w:val="Style19"/>
        <w:spacing w:before="0" w:after="0"/>
        <w:rPr/>
      </w:pPr>
      <w:r>
        <w:rPr/>
        <w:t>признания закупки несостоявшейся – Участнику, которому обеспечение не было возвращено по иным основаниям.</w:t>
      </w:r>
    </w:p>
    <w:p>
      <w:pPr>
        <w:pStyle w:val="Style18"/>
        <w:spacing w:before="120" w:after="0"/>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17"/>
        <w:spacing w:before="360" w:after="0"/>
        <w:rPr/>
      </w:pPr>
      <w:bookmarkStart w:id="210" w:name="_Toc230928859"/>
      <w:bookmarkStart w:id="211" w:name="_Ref130225422"/>
      <w:bookmarkStart w:id="212" w:name="_Ref149317278"/>
      <w:r>
        <w:rPr/>
        <w:t>Особенности проведения многолотовой закупки</w:t>
      </w:r>
      <w:bookmarkEnd w:id="210"/>
      <w:bookmarkEnd w:id="211"/>
      <w:bookmarkEnd w:id="212"/>
    </w:p>
    <w:p>
      <w:pPr>
        <w:pStyle w:val="Style18"/>
        <w:spacing w:before="120" w:after="0"/>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18"/>
        <w:spacing w:before="0" w:after="0"/>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18"/>
        <w:spacing w:before="0" w:after="0"/>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18"/>
        <w:spacing w:before="0" w:after="0"/>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18"/>
        <w:keepNext w:val="true"/>
        <w:spacing w:before="0" w:after="0"/>
        <w:rPr/>
      </w:pPr>
      <w:r>
        <w:rPr/>
        <w:t>В случае подачи заявки на несколько лотов дополнительно должны быть соблюдены следующие требования:</w:t>
      </w:r>
    </w:p>
    <w:p>
      <w:pPr>
        <w:pStyle w:val="Style19"/>
        <w:spacing w:before="120" w:after="0"/>
        <w:rPr/>
      </w:pPr>
      <w:r>
        <w:rPr/>
        <w:t>Письмо о подаче оферты (форма 2) (</w:t>
      </w:r>
      <w:hyperlink w:anchor="Прил04_ФормыЗаявки" w:tgtFrame="#Прил04_ФормыЗаявки">
        <w:r>
          <w:rPr>
            <w:rStyle w:val="Style6"/>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19"/>
        <w:spacing w:before="0" w:after="0"/>
        <w:rPr/>
      </w:pPr>
      <w:r>
        <w:rPr/>
        <w:t xml:space="preserve">Коммерческое предложение (форма 3), Техническое предложение (форма 4), План распределения объемов поставки продукции (форма 10) – </w:t>
      </w:r>
      <w:hyperlink w:anchor="Прил04_ФормыЗаявки" w:tgtFrame="#Прил04_ФормыЗаявки">
        <w:r>
          <w:rPr>
            <w:rStyle w:val="Style6"/>
          </w:rPr>
          <w:t>Приложение № 4</w:t>
        </w:r>
      </w:hyperlink>
      <w:r>
        <w:rPr/>
        <w:t>, должны быть подготовлены отдельно по каждому из лотов с указанием номера и названия лота.</w:t>
      </w:r>
    </w:p>
    <w:p>
      <w:pPr>
        <w:pStyle w:val="Style18"/>
        <w:spacing w:before="120" w:after="0"/>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17"/>
        <w:spacing w:before="360" w:after="0"/>
        <w:rPr/>
      </w:pPr>
      <w:bookmarkStart w:id="213" w:name="_Toc230928860"/>
      <w:bookmarkStart w:id="214" w:name="_Ref125550863"/>
      <w:r>
        <w:rPr/>
        <w:t>Особенности проведения закупки с возможностью подачи альтернативных предложений</w:t>
      </w:r>
      <w:bookmarkEnd w:id="213"/>
      <w:bookmarkEnd w:id="214"/>
    </w:p>
    <w:p>
      <w:pPr>
        <w:pStyle w:val="Style18"/>
        <w:spacing w:before="120" w:after="0"/>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18"/>
        <w:spacing w:before="0" w:after="0"/>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18"/>
        <w:spacing w:before="0" w:after="0"/>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18"/>
        <w:spacing w:before="0" w:after="0"/>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18"/>
        <w:spacing w:before="0" w:after="0"/>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tgtFrame="#Прил04_ФормыЗаявки">
        <w:r>
          <w:rPr>
            <w:rStyle w:val="Style6"/>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18"/>
        <w:spacing w:before="0" w:after="0"/>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18"/>
        <w:spacing w:before="0" w:after="0"/>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16"/>
        <w:spacing w:before="0" w:after="0"/>
        <w:rPr/>
      </w:pPr>
      <w:bookmarkStart w:id="215" w:name="_Ref125367083"/>
      <w:bookmarkStart w:id="216" w:name="_Ref125363439"/>
      <w:bookmarkStart w:id="217" w:name="_Ref125366769"/>
      <w:bookmarkStart w:id="218" w:name="_Ref125367087"/>
      <w:bookmarkStart w:id="219" w:name="_Ref125362671"/>
      <w:bookmarkStart w:id="220" w:name="_Ref125361212"/>
      <w:bookmarkStart w:id="221" w:name="_Ref126142429"/>
      <w:bookmarkStart w:id="222" w:name="_Ref130224037"/>
      <w:bookmarkStart w:id="223" w:name="_Toc230928861"/>
      <w:r>
        <w:rPr/>
        <w:t>Порядок заключения Договора</w:t>
      </w:r>
      <w:bookmarkEnd w:id="215"/>
      <w:bookmarkEnd w:id="216"/>
      <w:bookmarkEnd w:id="217"/>
      <w:bookmarkEnd w:id="218"/>
      <w:bookmarkEnd w:id="219"/>
      <w:bookmarkEnd w:id="220"/>
      <w:bookmarkEnd w:id="221"/>
      <w:bookmarkEnd w:id="222"/>
      <w:bookmarkEnd w:id="223"/>
    </w:p>
    <w:p>
      <w:pPr>
        <w:pStyle w:val="Style17"/>
        <w:spacing w:before="360" w:after="0"/>
        <w:rPr/>
      </w:pPr>
      <w:bookmarkStart w:id="224" w:name="_Ref139028625"/>
      <w:bookmarkStart w:id="225" w:name="_Toc230928862"/>
      <w:r>
        <w:rPr/>
        <w:t>Общие положения</w:t>
      </w:r>
      <w:bookmarkEnd w:id="224"/>
      <w:bookmarkEnd w:id="225"/>
    </w:p>
    <w:p>
      <w:pPr>
        <w:pStyle w:val="Style18"/>
        <w:spacing w:before="120" w:after="0"/>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17"/>
        <w:spacing w:before="360" w:after="0"/>
        <w:rPr/>
      </w:pPr>
      <w:bookmarkStart w:id="226" w:name="_Ref135736094"/>
      <w:bookmarkStart w:id="227" w:name="_Ref125368755"/>
      <w:bookmarkStart w:id="228" w:name="_Ref125366947"/>
      <w:bookmarkStart w:id="229" w:name="_Toc230928863"/>
      <w:bookmarkStart w:id="230" w:name="_Ref138232981"/>
      <w:r>
        <w:rPr/>
        <w:t>Заключение Договора</w:t>
      </w:r>
      <w:bookmarkEnd w:id="226"/>
      <w:bookmarkEnd w:id="227"/>
      <w:bookmarkEnd w:id="228"/>
      <w:bookmarkEnd w:id="229"/>
      <w:bookmarkEnd w:id="230"/>
    </w:p>
    <w:p>
      <w:pPr>
        <w:pStyle w:val="Style18"/>
        <w:spacing w:before="120" w:after="0"/>
        <w:rPr/>
      </w:pPr>
      <w:bookmarkStart w:id="231" w:name="_Ref130293821"/>
      <w:bookmarkStart w:id="232"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31"/>
      <w:bookmarkEnd w:id="232"/>
    </w:p>
    <w:p>
      <w:pPr>
        <w:pStyle w:val="Style18"/>
        <w:spacing w:before="0" w:after="0"/>
        <w:rPr/>
      </w:pPr>
      <w:r>
        <w:rPr/>
        <w:t>Договор не может быть заключен, если это запрещено законодательством о национальном режиме .</w:t>
      </w:r>
    </w:p>
    <w:p>
      <w:pPr>
        <w:pStyle w:val="Style18"/>
        <w:spacing w:before="0" w:after="0"/>
        <w:rPr/>
      </w:pPr>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18"/>
        <w:spacing w:before="0" w:after="0"/>
        <w:rPr/>
      </w:pPr>
      <w:bookmarkStart w:id="233" w:name="_Ref125363464"/>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tgtFrame="#Прил05_ФормыПобедителя">
        <w:r>
          <w:rPr>
            <w:rStyle w:val="Style6"/>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p>
    <w:p>
      <w:pPr>
        <w:pStyle w:val="Style18"/>
        <w:numPr>
          <w:ilvl w:val="0"/>
          <w:numId w:val="16"/>
        </w:numPr>
        <w:spacing w:before="120" w:after="0"/>
        <w:ind w:left="1701" w:hanging="567"/>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p>
    <w:p>
      <w:pPr>
        <w:pStyle w:val="Style18"/>
        <w:numPr>
          <w:ilvl w:val="0"/>
          <w:numId w:val="16"/>
        </w:numPr>
        <w:spacing w:before="0" w:after="0"/>
        <w:ind w:left="1701" w:hanging="567"/>
        <w:rPr/>
      </w:pPr>
      <w:r>
        <w:rP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в «Личном кабинете контрагента»</w:t>
      </w:r>
      <w:r>
        <w:rP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цепочке собственников, включая бенефициаров (в том числе конечных)</w:t>
      </w:r>
      <w:r>
        <w:rPr/>
        <w:t>. Уведомление (со ссылкой на учетную запись) направляется на указанный в заявке Победителя (в Анкете Участника (форма 5) (</w:t>
      </w:r>
      <w:hyperlink w:anchor="Прил04_ФормыЗаявки" w:tgtFrame="#Прил04_ФормыЗаявки">
        <w:r>
          <w:rPr>
            <w:rStyle w:val="Style6"/>
          </w:rPr>
          <w:t>Приложения № 4</w:t>
        </w:r>
      </w:hyperlink>
      <w:r>
        <w:rPr/>
        <w:t>)) адрес электронной почты ответственного лица).</w:t>
      </w:r>
      <w:bookmarkEnd w:id="233"/>
    </w:p>
    <w:p>
      <w:pPr>
        <w:pStyle w:val="Style18"/>
        <w:keepNext w:val="true"/>
        <w:spacing w:before="120" w:after="0"/>
        <w:rPr/>
      </w:pPr>
      <w:bookmarkStart w:id="234" w:name="_Ref125551776"/>
      <w:r>
        <w:rPr/>
        <w:t>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Portable Document Format (*</w:t>
      </w:r>
      <w:r>
        <w:rPr>
          <w:lang w:val="en-US"/>
        </w:rPr>
        <w:t>pdf</w:t>
      </w:r>
      <w:r>
        <w:rPr/>
        <w:t>)):</w:t>
      </w:r>
      <w:bookmarkEnd w:id="234"/>
    </w:p>
    <w:p>
      <w:pPr>
        <w:pStyle w:val="Style19"/>
        <w:spacing w:before="120" w:after="0"/>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rStyle w:val="Style6"/>
          </w:rPr>
          <w:t>Приложением № 5</w:t>
        </w:r>
      </w:hyperlink>
      <w:r>
        <w:rPr/>
        <w:t>;</w:t>
      </w:r>
    </w:p>
    <w:p>
      <w:pPr>
        <w:pStyle w:val="Style19"/>
        <w:spacing w:before="0" w:after="0"/>
        <w:rPr/>
      </w:pPr>
      <w:bookmarkStart w:id="235"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35"/>
      <w:r>
        <w:rPr/>
        <w:t>;</w:t>
      </w:r>
    </w:p>
    <w:p>
      <w:pPr>
        <w:pStyle w:val="Style18"/>
        <w:keepNext w:val="true"/>
        <w:spacing w:before="120" w:after="0"/>
        <w:rPr/>
      </w:pPr>
      <w:bookmarkStart w:id="236"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tgtFrame="#Прил03_ТребованияУчастникам">
        <w:r>
          <w:rPr>
            <w:rStyle w:val="Style6"/>
          </w:rPr>
          <w:t>Приложение № 3</w:t>
        </w:r>
      </w:hyperlink>
      <w:r>
        <w:rPr/>
        <w:t>), следующие документы (скан-копии в формате Portable Document Format (*</w:t>
      </w:r>
      <w:r>
        <w:rPr>
          <w:lang w:val="en-US"/>
        </w:rPr>
        <w:t>pdf</w:t>
      </w:r>
      <w:r>
        <w:rPr/>
        <w:t>))</w:t>
      </w:r>
      <w:r>
        <w:rPr>
          <w:rStyle w:val="FootnoteReference"/>
        </w:rPr>
        <w:footnoteReference w:id="12"/>
      </w:r>
      <w:r>
        <w:rPr/>
        <w:t>:</w:t>
      </w:r>
      <w:bookmarkEnd w:id="236"/>
    </w:p>
    <w:p>
      <w:pPr>
        <w:pStyle w:val="Style19"/>
        <w:keepNext w:val="true"/>
        <w:spacing w:before="120" w:after="0"/>
        <w:rPr/>
      </w:pPr>
      <w:r>
        <w:rPr/>
        <w:t>для юридического лица:</w:t>
      </w:r>
    </w:p>
    <w:p>
      <w:pPr>
        <w:pStyle w:val="Style20"/>
        <w:spacing w:before="120" w:after="0"/>
        <w:rPr/>
      </w:pPr>
      <w:r>
        <w:rPr/>
        <w:t>копия устава в действующей редакции с отметкой ИФНС либо копия нотариально заверенного устава (с отметкой нотариуса);</w:t>
      </w:r>
    </w:p>
    <w:p>
      <w:pPr>
        <w:pStyle w:val="Style20"/>
        <w:spacing w:before="0" w:after="0"/>
        <w:rPr/>
      </w:pPr>
      <w:bookmarkStart w:id="237"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7"/>
    </w:p>
    <w:p>
      <w:pPr>
        <w:pStyle w:val="Style20"/>
        <w:spacing w:before="0" w:after="0"/>
        <w:rPr/>
      </w:pPr>
      <w:r>
        <w:rP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pPr>
        <w:pStyle w:val="Style20"/>
        <w:spacing w:before="0" w:after="0"/>
        <w:rPr/>
      </w:pPr>
      <w:r>
        <w:rP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pPr>
        <w:pStyle w:val="Style19"/>
        <w:spacing w:before="120" w:after="0"/>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19"/>
        <w:spacing w:before="0" w:after="0"/>
        <w:rPr/>
      </w:pPr>
      <w:r>
        <w:rPr/>
        <w:t>для физического лица: нотариально заверенная копия всех страниц документа, удостоверяющего личность (паспорта);</w:t>
      </w:r>
    </w:p>
    <w:p>
      <w:pPr>
        <w:pStyle w:val="Style19"/>
        <w:spacing w:before="0" w:after="0"/>
        <w:rPr/>
      </w:pPr>
      <w:bookmarkStart w:id="238"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38"/>
    </w:p>
    <w:p>
      <w:pPr>
        <w:pStyle w:val="Style18"/>
        <w:spacing w:before="120" w:after="0"/>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18"/>
        <w:spacing w:before="0" w:after="0"/>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18"/>
        <w:keepNext w:val="true"/>
        <w:spacing w:before="0" w:after="0"/>
        <w:rPr/>
      </w:pPr>
      <w:bookmarkStart w:id="239"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9"/>
    </w:p>
    <w:p>
      <w:pPr>
        <w:pStyle w:val="Style19"/>
        <w:spacing w:before="120" w:after="0"/>
        <w:rPr/>
      </w:pPr>
      <w:r>
        <w:rPr/>
        <w:t>протокол преддоговорных переговоров между Заказчиком и Победителем (при проведении таковых);</w:t>
      </w:r>
    </w:p>
    <w:p>
      <w:pPr>
        <w:pStyle w:val="Style19"/>
        <w:spacing w:before="0" w:after="0"/>
        <w:rPr/>
      </w:pPr>
      <w:r>
        <w:rPr/>
        <w:t>итоговый протокол по результатам закупки;</w:t>
      </w:r>
    </w:p>
    <w:p>
      <w:pPr>
        <w:pStyle w:val="Style19"/>
        <w:spacing w:before="0" w:after="0"/>
        <w:rPr/>
      </w:pPr>
      <w:r>
        <w:rPr/>
        <w:t>Извещение и Документация о закупке со всеми изменениями;</w:t>
      </w:r>
    </w:p>
    <w:p>
      <w:pPr>
        <w:pStyle w:val="Style19"/>
        <w:spacing w:before="0" w:after="0"/>
        <w:rPr/>
      </w:pPr>
      <w:r>
        <w:rPr/>
        <w:t>заявка Победителя со всеми дополнениями и разъяснениями.</w:t>
      </w:r>
    </w:p>
    <w:p>
      <w:pPr>
        <w:pStyle w:val="Style18"/>
        <w:spacing w:before="120" w:after="0"/>
        <w:rPr/>
      </w:pPr>
      <w:bookmarkStart w:id="240"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40"/>
    </w:p>
    <w:p>
      <w:pPr>
        <w:pStyle w:val="Style18"/>
        <w:keepNext w:val="true"/>
        <w:spacing w:before="0" w:after="0"/>
        <w:rPr/>
      </w:pPr>
      <w:bookmarkStart w:id="241" w:name="_Ref125552524"/>
      <w:r>
        <w:rPr/>
        <w:t>Если Договор заключается в электронной форме:</w:t>
      </w:r>
    </w:p>
    <w:p>
      <w:pPr>
        <w:pStyle w:val="Style19"/>
        <w:spacing w:before="120" w:after="0"/>
        <w:rPr/>
      </w:pPr>
      <w:bookmarkStart w:id="242" w:name="_Ref164248655"/>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41"/>
      <w:bookmarkEnd w:id="242"/>
      <w:r>
        <w:rPr/>
        <w:t>;</w:t>
      </w:r>
    </w:p>
    <w:p>
      <w:pPr>
        <w:pStyle w:val="Style19"/>
        <w:spacing w:before="0" w:after="0"/>
        <w:rPr/>
      </w:pPr>
      <w:bookmarkStart w:id="243" w:name="_Ref164248170"/>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bookmarkEnd w:id="243"/>
    </w:p>
    <w:p>
      <w:pPr>
        <w:pStyle w:val="Style18"/>
        <w:spacing w:before="120" w:after="0"/>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17"/>
        <w:spacing w:before="360" w:after="0"/>
        <w:rPr/>
      </w:pPr>
      <w:bookmarkStart w:id="244" w:name="_Toc230928864"/>
      <w:bookmarkStart w:id="245" w:name="_Ref125552570"/>
      <w:r>
        <w:rPr/>
        <w:t>Преддоговорные переговоры</w:t>
      </w:r>
      <w:bookmarkEnd w:id="244"/>
      <w:bookmarkEnd w:id="245"/>
    </w:p>
    <w:p>
      <w:pPr>
        <w:pStyle w:val="Style18"/>
        <w:keepNext w:val="true"/>
        <w:spacing w:before="120" w:after="0"/>
        <w:rPr/>
      </w:pPr>
      <w:r>
        <w:rPr/>
        <w:t>Проведение преддоговорных переговоров между Заказчиком и Победителем допускается только в отношении следующих вопросов:</w:t>
      </w:r>
    </w:p>
    <w:p>
      <w:pPr>
        <w:pStyle w:val="Style19"/>
        <w:spacing w:before="120" w:after="0"/>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19"/>
        <w:spacing w:before="0" w:after="0"/>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19"/>
        <w:spacing w:before="0" w:after="0"/>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19"/>
        <w:spacing w:before="0" w:after="0"/>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19"/>
        <w:spacing w:before="0" w:after="0"/>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18"/>
        <w:spacing w:before="120" w:after="0"/>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18"/>
        <w:spacing w:before="0" w:after="0"/>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18"/>
        <w:spacing w:before="0" w:after="0"/>
        <w:rPr/>
      </w:pPr>
      <w:r>
        <w:rPr/>
        <w:t>Результаты преддоговорных переговоров фиксируются в форме протокола</w:t>
      </w:r>
      <w:r>
        <w:rPr>
          <w:rStyle w:val="FootnoteReference"/>
        </w:rPr>
        <w:footnoteReference w:id="13"/>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18"/>
        <w:spacing w:before="0" w:after="0"/>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17"/>
        <w:spacing w:before="360" w:after="0"/>
        <w:rPr/>
      </w:pPr>
      <w:bookmarkStart w:id="246" w:name="_Ref125367068"/>
      <w:bookmarkStart w:id="247" w:name="_Toc230928865"/>
      <w:r>
        <w:rPr/>
        <w:t>Уклонение Победителя от заключения Договора</w:t>
      </w:r>
      <w:bookmarkEnd w:id="246"/>
      <w:bookmarkEnd w:id="247"/>
    </w:p>
    <w:p>
      <w:pPr>
        <w:pStyle w:val="Style18"/>
        <w:keepNext w:val="true"/>
        <w:spacing w:before="120" w:after="0"/>
        <w:rPr/>
      </w:pPr>
      <w:r>
        <w:rPr/>
        <w:t>Если Победитель закупки:</w:t>
      </w:r>
    </w:p>
    <w:p>
      <w:pPr>
        <w:pStyle w:val="Style19"/>
        <w:spacing w:before="120" w:after="0"/>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19"/>
        <w:spacing w:before="0" w:after="0"/>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19"/>
        <w:spacing w:before="0" w:after="0"/>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tgtFrame="#Прил05_ФормыПобедителя">
        <w:r>
          <w:rPr>
            <w:rStyle w:val="Style6"/>
          </w:rPr>
          <w:t>Приложение № 5</w:t>
        </w:r>
      </w:hyperlink>
      <w:r>
        <w:rPr/>
        <w:t>), с приложением подтверждающих документов;</w:t>
      </w:r>
    </w:p>
    <w:p>
      <w:pPr>
        <w:pStyle w:val="Style19"/>
        <w:spacing w:before="0" w:after="0"/>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rStyle w:val="Style6"/>
          </w:rPr>
          <w:t>Приложением № 5</w:t>
        </w:r>
      </w:hyperlink>
      <w:r>
        <w:rPr/>
        <w:t>;</w:t>
      </w:r>
    </w:p>
    <w:p>
      <w:pPr>
        <w:pStyle w:val="Style19"/>
        <w:spacing w:before="0" w:after="0"/>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19"/>
        <w:spacing w:before="0" w:after="0"/>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5.2.6</w:t>
      </w:r>
      <w:r>
        <w:rPr/>
        <w:fldChar w:fldCharType="end"/>
      </w:r>
      <w:r>
        <w:rPr/>
        <w:t>, или предоставит их с нарушением требований, установленных в Документации о закупке;</w:t>
      </w:r>
    </w:p>
    <w:p>
      <w:pPr>
        <w:pStyle w:val="Style19"/>
        <w:spacing w:before="0" w:after="0"/>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tgtFrame="#Прил01_ТехТребования">
        <w:r>
          <w:rPr>
            <w:rStyle w:val="Style6"/>
          </w:rPr>
          <w:t>Приложения № 1 – Технические требования</w:t>
        </w:r>
      </w:hyperlink>
      <w:r>
        <w:rPr/>
        <w:t xml:space="preserve"> (в случае установления таковых);</w:t>
      </w:r>
    </w:p>
    <w:p>
      <w:pPr>
        <w:pStyle w:val="Style19"/>
        <w:spacing w:before="0" w:after="0"/>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19"/>
        <w:spacing w:before="0" w:after="0"/>
        <w:rPr/>
      </w:pPr>
      <w:r>
        <w:rPr/>
        <w:t>не выполнит другие условия, прямо предусмотренные Документацией о закупке,</w:t>
      </w:r>
    </w:p>
    <w:p>
      <w:pPr>
        <w:pStyle w:val="Style22"/>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16"/>
        <w:spacing w:before="0" w:after="0"/>
        <w:rPr/>
      </w:pPr>
      <w:bookmarkStart w:id="248" w:name="_Ref125363752"/>
      <w:bookmarkStart w:id="249" w:name="_Ref125364201"/>
      <w:bookmarkStart w:id="250" w:name="_Toc230928866"/>
      <w:bookmarkStart w:id="251" w:name="Прил01_ТехТребования"/>
      <w:bookmarkStart w:id="252" w:name="_Ref125370843"/>
      <w:bookmarkStart w:id="253" w:name="_Ref125370750"/>
      <w:bookmarkStart w:id="254" w:name="_Ref125370746"/>
      <w:bookmarkStart w:id="255" w:name="_Ref125364088"/>
      <w:bookmarkStart w:id="256" w:name="_Ref125363600"/>
      <w:bookmarkStart w:id="257" w:name="_Ref125363034"/>
      <w:bookmarkStart w:id="258" w:name="_Ref125363023"/>
      <w:bookmarkStart w:id="259" w:name="_Ref125370732"/>
      <w:bookmarkStart w:id="260" w:name="_Ref125363016"/>
      <w:bookmarkStart w:id="261" w:name="_Ref125370741"/>
      <w:r>
        <w:rPr/>
        <w:t>Приложение № 1 – Технические требования</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pPr>
        <w:pStyle w:val="Style17"/>
        <w:spacing w:before="360" w:after="0"/>
        <w:rPr/>
      </w:pPr>
      <w:bookmarkStart w:id="262" w:name="_Toc230928867"/>
      <w:r>
        <w:rPr/>
        <w:t>Пояснения к Техническим требованиям</w:t>
      </w:r>
      <w:bookmarkEnd w:id="262"/>
    </w:p>
    <w:p>
      <w:pPr>
        <w:pStyle w:val="Style18"/>
        <w:spacing w:before="120" w:after="0"/>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16"/>
        <w:spacing w:before="0" w:after="0"/>
        <w:rPr/>
      </w:pPr>
      <w:bookmarkStart w:id="263" w:name="Прил02_ПроектДоговора"/>
      <w:bookmarkStart w:id="264" w:name="_Ref125370754"/>
      <w:bookmarkStart w:id="265" w:name="_Ref125363040"/>
      <w:bookmarkStart w:id="266" w:name="_Ref125364081"/>
      <w:bookmarkStart w:id="267" w:name="_Ref125363759"/>
      <w:bookmarkStart w:id="268" w:name="_Ref125364206"/>
      <w:bookmarkStart w:id="269" w:name="_Toc230928868"/>
      <w:bookmarkStart w:id="270" w:name="_Ref125363605"/>
      <w:bookmarkStart w:id="271" w:name="_Ref125361746"/>
      <w:r>
        <w:rPr/>
        <w:t>Приложение № 2 – Проект договора</w:t>
      </w:r>
      <w:bookmarkEnd w:id="263"/>
      <w:bookmarkEnd w:id="264"/>
      <w:bookmarkEnd w:id="265"/>
      <w:bookmarkEnd w:id="266"/>
      <w:bookmarkEnd w:id="267"/>
      <w:bookmarkEnd w:id="268"/>
      <w:bookmarkEnd w:id="269"/>
      <w:bookmarkEnd w:id="270"/>
      <w:bookmarkEnd w:id="271"/>
    </w:p>
    <w:p>
      <w:pPr>
        <w:pStyle w:val="Style17"/>
        <w:spacing w:before="360" w:after="0"/>
        <w:rPr/>
      </w:pPr>
      <w:bookmarkStart w:id="272" w:name="_Toc230928869"/>
      <w:r>
        <w:rPr/>
        <w:t>Пояснения к Проекту договора</w:t>
      </w:r>
      <w:bookmarkEnd w:id="272"/>
    </w:p>
    <w:p>
      <w:pPr>
        <w:pStyle w:val="Style18"/>
        <w:spacing w:before="120" w:after="0"/>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18"/>
        <w:spacing w:before="0" w:after="0"/>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73" w:name="_Hlk132883778"/>
      <w:r>
        <w:rPr/>
        <w:t>как «Некритичные пункты Проекта договора»</w:t>
      </w:r>
      <w:bookmarkEnd w:id="273"/>
      <w:r>
        <w:rPr/>
        <w:t>.</w:t>
      </w:r>
    </w:p>
    <w:p>
      <w:pPr>
        <w:pStyle w:val="Style18"/>
        <w:spacing w:before="0" w:after="0"/>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18"/>
        <w:spacing w:before="0" w:after="0"/>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74" w:name="_MON_1736255517"/>
    </w:p>
    <w:p>
      <w:pPr>
        <w:sectPr>
          <w:headerReference w:type="default" r:id="rId14"/>
          <w:headerReference w:type="first" r:id="rId15"/>
          <w:footerReference w:type="default" r:id="rId16"/>
          <w:footerReference w:type="first" r:id="rId1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jc w:val="center"/>
        <w:rPr/>
      </w:pPr>
      <w:bookmarkEnd w:id="274"/>
      <w:r>
        <w:rPr/>
        <w:t xml:space="preserve">  </w:t>
      </w:r>
      <w:r>
        <w:rPr/>
        <w:drawing>
          <wp:inline distT="0" distB="0" distL="0" distR="0">
            <wp:extent cx="1152525" cy="733425"/>
            <wp:effectExtent l="0" t="0" r="0" b="0"/>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noChangeArrowheads="1"/>
                    </pic:cNvPicPr>
                  </pic:nvPicPr>
                  <pic:blipFill>
                    <a:blip r:embed="rId13"/>
                    <a:stretch>
                      <a:fillRect/>
                    </a:stretch>
                  </pic:blipFill>
                  <pic:spPr bwMode="auto">
                    <a:xfrm>
                      <a:off x="0" y="0"/>
                      <a:ext cx="1152525" cy="733425"/>
                    </a:xfrm>
                    <a:prstGeom prst="rect">
                      <a:avLst/>
                    </a:prstGeom>
                  </pic:spPr>
                </pic:pic>
              </a:graphicData>
            </a:graphic>
          </wp:inline>
        </w:drawing>
      </w:r>
    </w:p>
    <w:p>
      <w:pPr>
        <w:pStyle w:val="Style16"/>
        <w:spacing w:before="0" w:after="0"/>
        <w:rPr/>
      </w:pPr>
      <w:bookmarkStart w:id="275" w:name="_Ref125361908"/>
      <w:bookmarkStart w:id="276" w:name="_Ref125361494"/>
      <w:bookmarkStart w:id="277" w:name="_Toc230928870"/>
      <w:bookmarkStart w:id="278" w:name="Прил03_ТребованияУчастникам"/>
      <w:bookmarkStart w:id="279" w:name="_Ref125370013"/>
      <w:bookmarkStart w:id="280" w:name="_Ref125365476"/>
      <w:r>
        <w:rPr/>
        <w:t>Приложение № 3 – Требования к Участникам</w:t>
      </w:r>
      <w:bookmarkEnd w:id="275"/>
      <w:bookmarkEnd w:id="276"/>
      <w:bookmarkEnd w:id="277"/>
      <w:bookmarkEnd w:id="278"/>
      <w:bookmarkEnd w:id="279"/>
      <w:bookmarkEnd w:id="280"/>
    </w:p>
    <w:p>
      <w:pPr>
        <w:pStyle w:val="Style17"/>
        <w:spacing w:before="360" w:after="0"/>
        <w:rPr/>
      </w:pPr>
      <w:bookmarkStart w:id="281" w:name="_Toc230928871"/>
      <w:r>
        <w:rPr/>
        <w:t>Пояснения к требованиям к Участникам</w:t>
      </w:r>
      <w:bookmarkEnd w:id="281"/>
    </w:p>
    <w:p>
      <w:pPr>
        <w:pStyle w:val="Style18"/>
        <w:spacing w:before="120" w:after="0"/>
        <w:rPr/>
      </w:pPr>
      <w:bookmarkStart w:id="282"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82"/>
    </w:p>
    <w:p>
      <w:pPr>
        <w:pStyle w:val="Style17"/>
        <w:spacing w:before="360" w:after="120"/>
        <w:rPr/>
      </w:pPr>
      <w:bookmarkStart w:id="283" w:name="_Ref125370058"/>
      <w:bookmarkStart w:id="284" w:name="_Ref125361846"/>
      <w:bookmarkStart w:id="285" w:name="_Ref125370071"/>
      <w:bookmarkStart w:id="286" w:name="_Ref125370064"/>
      <w:bookmarkStart w:id="287" w:name="_Ref125369088"/>
      <w:bookmarkStart w:id="288" w:name="_Ref125368895"/>
      <w:bookmarkStart w:id="289" w:name="_Ref125368812"/>
      <w:bookmarkStart w:id="290" w:name="_Ref125366879"/>
      <w:bookmarkStart w:id="291" w:name="_Ref125361926"/>
      <w:bookmarkStart w:id="292" w:name="_Ref125361832"/>
      <w:bookmarkStart w:id="293" w:name="_Ref125361617"/>
      <w:bookmarkStart w:id="294" w:name="_Ref125361590"/>
      <w:bookmarkStart w:id="295" w:name="_Ref125361435"/>
      <w:bookmarkStart w:id="296" w:name="_Toc230928872"/>
      <w:r>
        <w:rPr/>
        <w:t>Обязательные требования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5671"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Участнику</w:t>
            </w:r>
          </w:p>
        </w:tc>
        <w:tc>
          <w:tcPr>
            <w:tcW w:w="8327"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2"/>
              <w:widowControl w:val="false"/>
              <w:numPr>
                <w:ilvl w:val="0"/>
                <w:numId w:val="2"/>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97" w:name="_Ref125552433"/>
            <w:bookmarkStart w:id="298" w:name="_Ref125552433"/>
            <w:bookmarkEnd w:id="298"/>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2"/>
              <w:widowControl w:val="false"/>
              <w:numPr>
                <w:ilvl w:val="0"/>
                <w:numId w:val="8"/>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отношении гражданской правоспособности:</w:t>
            </w:r>
          </w:p>
          <w:p>
            <w:pPr>
              <w:pStyle w:val="Style22"/>
              <w:widowControl w:val="false"/>
              <w:numPr>
                <w:ilvl w:val="0"/>
                <w:numId w:val="15"/>
              </w:numPr>
              <w:spacing w:lineRule="auto" w:line="240" w:before="60" w:after="60"/>
              <w:ind w:left="568" w:hanging="284"/>
              <w:rPr>
                <w:rFonts w:ascii="Times New Roman" w:hAnsi="Times New Roman" w:eastAsia="Calibri" w:cs="Arial"/>
                <w:sz w:val="26"/>
                <w:szCs w:val="22"/>
                <w:lang w:eastAsia="en-US" w:bidi="ar-SA"/>
              </w:rPr>
            </w:pPr>
            <w:r>
              <w:rPr>
                <w:rFonts w:eastAsia="Calibri" w:cs="Arial"/>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w:t>
            </w:r>
            <w:r>
              <w:rPr>
                <w:rFonts w:eastAsia="Calibri" w:cs="Arial"/>
                <w:kern w:val="0"/>
                <w:sz w:val="26"/>
                <w:szCs w:val="22"/>
                <w:lang w:val="en-US" w:eastAsia="en-US" w:bidi="ar-SA"/>
              </w:rPr>
              <w:t>pdf</w:t>
            </w:r>
            <w:r>
              <w:rPr>
                <w:rFonts w:eastAsia="Calibri" w:cs="Arial"/>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22"/>
              <w:widowControl w:val="false"/>
              <w:numPr>
                <w:ilvl w:val="0"/>
                <w:numId w:val="8"/>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отношении аккредитации:</w:t>
            </w:r>
          </w:p>
          <w:p>
            <w:pPr>
              <w:pStyle w:val="Style22"/>
              <w:widowControl w:val="false"/>
              <w:numPr>
                <w:ilvl w:val="0"/>
                <w:numId w:val="15"/>
              </w:numPr>
              <w:spacing w:lineRule="auto" w:line="240" w:before="60" w:after="0"/>
              <w:ind w:left="568" w:hanging="284"/>
              <w:rPr/>
            </w:pPr>
            <w:r>
              <w:rPr>
                <w:rFonts w:eastAsia="Calibri" w:cs="Arial"/>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tgtFrame="#Прил10_ЗаявкаНаАккредитацию">
              <w:r>
                <w:rPr>
                  <w:rStyle w:val="Style6"/>
                  <w:rFonts w:eastAsia="Calibri" w:cs="Arial"/>
                  <w:kern w:val="0"/>
                  <w:sz w:val="26"/>
                  <w:szCs w:val="22"/>
                  <w:lang w:val="ru-RU" w:eastAsia="en-US" w:bidi="ar-SA"/>
                </w:rPr>
                <w:t>Приложение № 10</w:t>
              </w:r>
            </w:hyperlink>
            <w:r>
              <w:rPr>
                <w:rFonts w:eastAsia="Calibri" w:cs="Arial"/>
                <w:kern w:val="0"/>
                <w:sz w:val="26"/>
                <w:szCs w:val="22"/>
                <w:lang w:val="ru-RU" w:eastAsia="en-US" w:bidi="ar-SA"/>
              </w:rPr>
              <w:t>);</w:t>
            </w:r>
          </w:p>
          <w:p>
            <w:pPr>
              <w:pStyle w:val="Style22"/>
              <w:widowControl w:val="false"/>
              <w:numPr>
                <w:ilvl w:val="0"/>
                <w:numId w:val="15"/>
              </w:numPr>
              <w:spacing w:lineRule="auto" w:line="240" w:before="0" w:after="0"/>
              <w:ind w:left="568" w:hanging="284"/>
              <w:rPr/>
            </w:pPr>
            <w:r>
              <w:rPr>
                <w:rFonts w:eastAsia="Calibri" w:cs="Arial"/>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предоставление Заявки на аккредитацию не требуется;</w:t>
            </w:r>
          </w:p>
          <w:p>
            <w:pPr>
              <w:pStyle w:val="Style22"/>
              <w:widowControl w:val="false"/>
              <w:numPr>
                <w:ilvl w:val="0"/>
                <w:numId w:val="15"/>
              </w:numPr>
              <w:spacing w:lineRule="auto" w:line="240" w:before="0" w:after="60"/>
              <w:ind w:left="568" w:hanging="284"/>
              <w:rPr/>
            </w:pPr>
            <w:r>
              <w:rPr>
                <w:rFonts w:eastAsia="Calibri" w:cs="Arial"/>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–Заявка на аккредитацию по установленной в Документации о закупке форме (</w:t>
            </w:r>
            <w:hyperlink w:anchor="Прил10_ЗаявкаНаАккредитацию" w:tgtFrame="#Прил10_ЗаявкаНаАккредитацию">
              <w:r>
                <w:rPr>
                  <w:rStyle w:val="Style6"/>
                  <w:rFonts w:eastAsia="Calibri" w:cs="Arial"/>
                  <w:kern w:val="0"/>
                  <w:sz w:val="26"/>
                  <w:szCs w:val="22"/>
                  <w:lang w:val="ru-RU" w:eastAsia="en-US" w:bidi="ar-SA"/>
                </w:rPr>
                <w:t>Приложение № 10</w:t>
              </w:r>
            </w:hyperlink>
            <w:r>
              <w:rPr>
                <w:rFonts w:eastAsia="Calibri" w:cs="Arial"/>
                <w:kern w:val="0"/>
                <w:sz w:val="26"/>
                <w:szCs w:val="22"/>
                <w:lang w:val="ru-RU" w:eastAsia="en-US" w:bidi="ar-SA"/>
              </w:rPr>
              <w:t>).</w:t>
            </w:r>
          </w:p>
          <w:p>
            <w:pPr>
              <w:pStyle w:val="Style22"/>
              <w:widowControl w:val="false"/>
              <w:spacing w:lineRule="auto" w:line="240" w:before="60" w:after="60"/>
              <w:ind w:left="284" w:hanging="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2"/>
              <w:widowControl w:val="false"/>
              <w:spacing w:lineRule="auto" w:line="240" w:before="60" w:after="60"/>
              <w:ind w:left="284" w:hanging="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22"/>
              <w:widowControl w:val="false"/>
              <w:spacing w:lineRule="auto" w:line="240" w:before="60" w:after="60"/>
              <w:ind w:left="284" w:hanging="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w:t>
            </w:r>
            <w:r>
              <w:rPr>
                <w:rFonts w:eastAsia="Calibri" w:cs="Arial"/>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2"/>
              <w:widowControl w:val="false"/>
              <w:spacing w:lineRule="auto" w:line="240" w:before="60" w:after="60"/>
              <w:ind w:left="284" w:hanging="0"/>
              <w:rPr/>
            </w:pPr>
            <w:r>
              <w:rPr>
                <w:rFonts w:eastAsia="Calibri" w:cs="Arial"/>
                <w:kern w:val="0"/>
                <w:sz w:val="26"/>
                <w:szCs w:val="22"/>
                <w:lang w:val="ru-RU" w:eastAsia="en-US" w:bidi="ar-SA"/>
              </w:rPr>
              <w:t>−</w:t>
            </w:r>
            <w:r>
              <w:rPr>
                <w:rFonts w:eastAsia="Calibri" w:cs="Arial"/>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Форма_данных_бухотчетность" w:tgtFrame="#Прил11_Форма_данных_бухотчетность">
              <w:r>
                <w:rPr>
                  <w:rStyle w:val="Hyperlink"/>
                  <w:rFonts w:eastAsia="Calibri" w:cs="Arial"/>
                  <w:kern w:val="0"/>
                  <w:sz w:val="26"/>
                  <w:szCs w:val="22"/>
                  <w:lang w:val="ru-RU" w:eastAsia="en-US" w:bidi="ar-SA"/>
                </w:rPr>
                <w:t>Приложении № 11</w:t>
              </w:r>
            </w:hyperlink>
            <w:r>
              <w:rPr>
                <w:rFonts w:eastAsia="Calibri" w:cs="Arial"/>
                <w:kern w:val="0"/>
                <w:sz w:val="26"/>
                <w:szCs w:val="22"/>
                <w:lang w:val="ru-RU" w:eastAsia="en-US" w:bidi="ar-SA"/>
              </w:rPr>
              <w:t>).</w:t>
            </w:r>
          </w:p>
          <w:p>
            <w:pPr>
              <w:pStyle w:val="Style22"/>
              <w:widowControl w:val="false"/>
              <w:spacing w:lineRule="auto" w:line="240" w:before="60" w:after="60"/>
              <w:ind w:left="284" w:hanging="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2"/>
              <w:widowControl w:val="false"/>
              <w:numPr>
                <w:ilvl w:val="0"/>
                <w:numId w:val="2"/>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299" w:name="_Ref139028406"/>
            <w:bookmarkStart w:id="300" w:name="_Ref139028406"/>
            <w:bookmarkEnd w:id="300"/>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Arial"/>
                <w:kern w:val="0"/>
                <w:sz w:val="26"/>
                <w:szCs w:val="22"/>
                <w:lang w:val="ru-RU" w:eastAsia="en-US" w:bidi="ar-SA"/>
              </w:rPr>
              <w:footnoteReference w:id="14"/>
            </w:r>
            <w:r>
              <w:rPr>
                <w:rFonts w:eastAsia="Calibri" w:cs="Arial"/>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Arial"/>
                <w:kern w:val="0"/>
                <w:sz w:val="26"/>
                <w:szCs w:val="22"/>
                <w:lang w:val="ru-RU" w:eastAsia="en-US" w:bidi="ar-SA"/>
              </w:rPr>
              <w:footnoteReference w:id="15"/>
            </w:r>
            <w:r>
              <w:rPr>
                <w:rFonts w:eastAsia="Calibri" w:cs="Arial"/>
                <w:kern w:val="0"/>
                <w:sz w:val="26"/>
                <w:szCs w:val="22"/>
                <w:lang w:val="ru-RU" w:eastAsia="en-US" w:bidi="ar-SA"/>
              </w:rPr>
              <w:t>:</w:t>
            </w:r>
          </w:p>
        </w:tc>
        <w:tc>
          <w:tcPr>
            <w:tcW w:w="8327" w:type="dxa"/>
            <w:tcBorders/>
          </w:tcPr>
          <w:p>
            <w:pPr>
              <w:pStyle w:val="Style22"/>
              <w:widowControl w:val="false"/>
              <w:spacing w:lineRule="auto" w:line="240" w:before="60" w:after="60"/>
              <w:rPr/>
            </w:pPr>
            <w:r>
              <w:rPr>
                <w:rFonts w:eastAsia="Calibri" w:cs="Arial"/>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p>
            <w:pPr>
              <w:pStyle w:val="Style22"/>
              <w:widowControl w:val="false"/>
              <w:spacing w:lineRule="auto" w:line="240" w:before="60" w:after="60"/>
              <w:rPr>
                <w:i/>
                <w:i/>
                <w:iCs/>
              </w:rPr>
            </w:pPr>
            <w:r>
              <w:rPr>
                <w:rFonts w:eastAsia="Calibri" w:cs="Arial"/>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2"/>
              <w:widowControl w:val="false"/>
              <w:numPr>
                <w:ilvl w:val="0"/>
                <w:numId w:val="2"/>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01" w:name="_Ref186213321"/>
            <w:bookmarkStart w:id="302" w:name="_Ref186213321"/>
            <w:bookmarkEnd w:id="302"/>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8327" w:type="dxa"/>
            <w:tcBorders/>
          </w:tcPr>
          <w:p>
            <w:pPr>
              <w:pStyle w:val="Style22"/>
              <w:widowControl w:val="false"/>
              <w:spacing w:lineRule="auto" w:line="240" w:before="60" w:after="60"/>
              <w:rPr/>
            </w:pPr>
            <w:r>
              <w:rPr>
                <w:rFonts w:eastAsia="Calibri" w:cs="Arial"/>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соответствующих сведений.</w:t>
            </w:r>
          </w:p>
          <w:p>
            <w:pPr>
              <w:pStyle w:val="Style22"/>
              <w:widowControl w:val="false"/>
              <w:spacing w:lineRule="auto" w:line="240" w:before="60" w:after="60"/>
              <w:rPr>
                <w:i/>
                <w:i/>
                <w:iCs/>
              </w:rPr>
            </w:pPr>
            <w:r>
              <w:rPr>
                <w:rFonts w:eastAsia="Calibri" w:cs="Arial"/>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22"/>
              <w:widowControl w:val="false"/>
              <w:numPr>
                <w:ilvl w:val="0"/>
                <w:numId w:val="2"/>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03" w:name="_Ref186213327"/>
            <w:bookmarkStart w:id="304" w:name="_Ref186213327"/>
            <w:bookmarkEnd w:id="304"/>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22"/>
              <w:widowControl w:val="false"/>
              <w:spacing w:lineRule="auto" w:line="240" w:before="60" w:after="60"/>
              <w:rPr/>
            </w:pPr>
            <w:r>
              <w:rPr>
                <w:rFonts w:eastAsia="Calibri" w:cs="Arial"/>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соответствующих сведений.</w:t>
            </w:r>
          </w:p>
          <w:p>
            <w:pPr>
              <w:pStyle w:val="Style22"/>
              <w:widowControl w:val="false"/>
              <w:spacing w:lineRule="auto" w:line="240" w:before="60" w:after="60"/>
              <w:rPr>
                <w:i/>
                <w:i/>
                <w:iCs/>
              </w:rPr>
            </w:pPr>
            <w:r>
              <w:rPr>
                <w:rFonts w:eastAsia="Calibri" w:cs="Arial"/>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17"/>
        <w:spacing w:before="360" w:after="120"/>
        <w:rPr/>
      </w:pPr>
      <w:bookmarkStart w:id="305" w:name="_Ref125368901"/>
      <w:bookmarkStart w:id="306" w:name="_Toc230928873"/>
      <w:bookmarkStart w:id="307" w:name="_Ref125709888"/>
      <w:bookmarkStart w:id="308" w:name="_Ref125709401"/>
      <w:bookmarkStart w:id="309" w:name="_Ref125709250"/>
      <w:bookmarkStart w:id="310" w:name="_Ref125709153"/>
      <w:bookmarkStart w:id="311" w:name="_Ref125370079"/>
      <w:bookmarkStart w:id="312" w:name="_Ref125369099"/>
      <w:bookmarkStart w:id="313" w:name="_Ref125368916"/>
      <w:bookmarkStart w:id="314" w:name="_Ref125367539"/>
      <w:bookmarkStart w:id="315" w:name="_Ref125367521"/>
      <w:bookmarkStart w:id="316" w:name="_Ref125365459"/>
      <w:bookmarkStart w:id="317" w:name="_Ref125361937"/>
      <w:bookmarkStart w:id="318" w:name="_Ref125361869"/>
      <w:bookmarkStart w:id="319" w:name="_Ref125361671"/>
      <w:bookmarkStart w:id="320" w:name="_Ref125361633"/>
      <w:bookmarkStart w:id="321" w:name="_Ref125361442"/>
      <w:bookmarkStart w:id="322" w:name="_Ref125368818"/>
      <w:r>
        <w:rPr/>
        <w:t>Специальные требования</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5671"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Участнику</w:t>
            </w:r>
          </w:p>
        </w:tc>
        <w:tc>
          <w:tcPr>
            <w:tcW w:w="8327"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2"/>
              <w:widowControl w:val="false"/>
              <w:numPr>
                <w:ilvl w:val="0"/>
                <w:numId w:val="3"/>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Специальные требования не установлены.</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Специальные требования не установлены.</w:t>
            </w:r>
          </w:p>
        </w:tc>
      </w:tr>
    </w:tbl>
    <w:p>
      <w:pPr>
        <w:pStyle w:val="Style17"/>
        <w:spacing w:before="360" w:after="120"/>
        <w:rPr/>
      </w:pPr>
      <w:bookmarkStart w:id="323" w:name="_Toc230928874"/>
      <w:bookmarkStart w:id="324" w:name="_Ref125709541"/>
      <w:bookmarkStart w:id="325" w:name="_Ref125709154"/>
      <w:bookmarkStart w:id="326" w:name="_Ref125709895"/>
      <w:bookmarkStart w:id="327" w:name="_Ref125553475"/>
      <w:bookmarkStart w:id="328" w:name="_Ref125709256"/>
      <w:bookmarkStart w:id="329" w:name="_Ref125550270"/>
      <w:bookmarkStart w:id="330" w:name="_Ref125553681"/>
      <w:bookmarkStart w:id="331" w:name="_Ref125553242"/>
      <w:bookmarkStart w:id="332" w:name="_Ref125553296"/>
      <w:bookmarkStart w:id="333" w:name="_Ref125550353"/>
      <w:r>
        <w:rPr/>
        <w:t>Квалификационные требования</w:t>
      </w:r>
      <w:bookmarkEnd w:id="323"/>
      <w:bookmarkEnd w:id="324"/>
      <w:bookmarkEnd w:id="325"/>
      <w:bookmarkEnd w:id="326"/>
      <w:bookmarkEnd w:id="327"/>
      <w:bookmarkEnd w:id="328"/>
      <w:bookmarkEnd w:id="329"/>
      <w:bookmarkEnd w:id="330"/>
      <w:bookmarkEnd w:id="331"/>
      <w:bookmarkEnd w:id="332"/>
      <w:bookmarkEnd w:id="333"/>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5671"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Участнику</w:t>
            </w:r>
          </w:p>
        </w:tc>
        <w:tc>
          <w:tcPr>
            <w:tcW w:w="8327"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2"/>
              <w:widowControl w:val="false"/>
              <w:numPr>
                <w:ilvl w:val="0"/>
                <w:numId w:val="10"/>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Квалификационные требования не установлены.</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Квалификационные требования не установлены.</w:t>
            </w:r>
          </w:p>
        </w:tc>
      </w:tr>
    </w:tbl>
    <w:p>
      <w:pPr>
        <w:pStyle w:val="Style17"/>
        <w:spacing w:before="360" w:after="120"/>
        <w:rPr/>
      </w:pPr>
      <w:bookmarkStart w:id="334" w:name="_Ref125709228"/>
      <w:bookmarkStart w:id="335" w:name="_Ref125553703"/>
      <w:bookmarkStart w:id="336" w:name="_Ref125553692"/>
      <w:bookmarkStart w:id="337" w:name="_Ref125553500"/>
      <w:bookmarkStart w:id="338" w:name="_Ref125552455"/>
      <w:bookmarkStart w:id="339" w:name="_Toc230928875"/>
      <w:r>
        <w:rPr/>
        <w:t>Дополнительные требования к Коллективным участникам</w:t>
      </w:r>
      <w:bookmarkEnd w:id="334"/>
      <w:bookmarkEnd w:id="335"/>
      <w:bookmarkEnd w:id="336"/>
      <w:bookmarkEnd w:id="337"/>
      <w:bookmarkEnd w:id="338"/>
      <w:bookmarkEnd w:id="339"/>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5671"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Коллективному участнику</w:t>
            </w:r>
          </w:p>
        </w:tc>
        <w:tc>
          <w:tcPr>
            <w:tcW w:w="8327"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2"/>
              <w:widowControl w:val="false"/>
              <w:numPr>
                <w:ilvl w:val="0"/>
                <w:numId w:val="4"/>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0" w:name="_Ref125370156"/>
            <w:bookmarkStart w:id="341" w:name="_Ref125370156"/>
            <w:bookmarkEnd w:id="341"/>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_Ref125366972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r>
          </w:p>
        </w:tc>
      </w:tr>
      <w:tr>
        <w:trPr/>
        <w:tc>
          <w:tcPr>
            <w:tcW w:w="1128" w:type="dxa"/>
            <w:tcBorders/>
          </w:tcPr>
          <w:p>
            <w:pPr>
              <w:pStyle w:val="Style22"/>
              <w:widowControl w:val="false"/>
              <w:numPr>
                <w:ilvl w:val="0"/>
                <w:numId w:val="4"/>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2" w:name="_Ref125553738"/>
            <w:bookmarkStart w:id="343" w:name="_Ref125553738"/>
            <w:bookmarkEnd w:id="343"/>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2"/>
              <w:widowControl w:val="false"/>
              <w:spacing w:lineRule="auto" w:line="240" w:before="60" w:after="60"/>
              <w:rPr/>
            </w:pPr>
            <w:r>
              <w:rPr>
                <w:rFonts w:eastAsia="Calibri" w:cs="Arial"/>
                <w:kern w:val="0"/>
                <w:sz w:val="26"/>
                <w:szCs w:val="22"/>
                <w:lang w:val="ru-RU" w:eastAsia="en-US" w:bidi="ar-SA"/>
              </w:rPr>
              <w:t>План распределения объемов поставки продукции (форма 10)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с указанием необходимой информации;</w:t>
            </w:r>
          </w:p>
        </w:tc>
      </w:tr>
      <w:tr>
        <w:trPr/>
        <w:tc>
          <w:tcPr>
            <w:tcW w:w="1128" w:type="dxa"/>
            <w:tcBorders/>
          </w:tcPr>
          <w:p>
            <w:pPr>
              <w:pStyle w:val="Style22"/>
              <w:widowControl w:val="false"/>
              <w:numPr>
                <w:ilvl w:val="0"/>
                <w:numId w:val="4"/>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44" w:name="_Ref125370162"/>
            <w:bookmarkStart w:id="345" w:name="_Ref125370162"/>
            <w:bookmarkEnd w:id="345"/>
          </w:p>
        </w:tc>
        <w:tc>
          <w:tcPr>
            <w:tcW w:w="5671" w:type="dxa"/>
            <w:tcBorders/>
          </w:tcPr>
          <w:p>
            <w:pPr>
              <w:pStyle w:val="Style22"/>
              <w:widowControl w:val="false"/>
              <w:spacing w:lineRule="auto" w:line="240" w:before="60" w:after="60"/>
              <w:rPr/>
            </w:pPr>
            <w:r>
              <w:rPr>
                <w:rFonts w:eastAsia="Calibri" w:cs="Arial"/>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_Ref125368791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_Ref134705077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3.2.7</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10)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Сведения и документы, аналогичные установленным в подразделах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_Ref125553242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17"/>
        <w:spacing w:before="360" w:after="120"/>
        <w:rPr/>
      </w:pPr>
      <w:bookmarkStart w:id="346" w:name="_Toc230928876"/>
      <w:bookmarkStart w:id="347" w:name="_Ref125709973"/>
      <w:bookmarkStart w:id="348" w:name="_Ref125709777"/>
      <w:bookmarkStart w:id="349" w:name="_Ref125370209"/>
      <w:bookmarkStart w:id="350" w:name="_Ref125370180"/>
      <w:bookmarkStart w:id="351" w:name="_Ref125370173"/>
      <w:bookmarkStart w:id="352" w:name="_Ref125369117"/>
      <w:bookmarkStart w:id="353" w:name="_Ref125361823"/>
      <w:bookmarkStart w:id="354" w:name="_Ref125362031"/>
      <w:r>
        <w:rPr/>
        <w:t>Дополнительные требования к Генеральным подрядчикам</w:t>
      </w:r>
      <w:bookmarkEnd w:id="346"/>
      <w:bookmarkEnd w:id="347"/>
      <w:bookmarkEnd w:id="348"/>
      <w:bookmarkEnd w:id="349"/>
      <w:bookmarkEnd w:id="350"/>
      <w:bookmarkEnd w:id="351"/>
      <w:bookmarkEnd w:id="352"/>
      <w:bookmarkEnd w:id="353"/>
      <w:bookmarkEnd w:id="354"/>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5671"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Генеральному подрядчику</w:t>
            </w:r>
          </w:p>
        </w:tc>
        <w:tc>
          <w:tcPr>
            <w:tcW w:w="8327"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2"/>
              <w:widowControl w:val="false"/>
              <w:numPr>
                <w:ilvl w:val="0"/>
                <w:numId w:val="5"/>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55" w:name="_Ref125370187"/>
            <w:bookmarkStart w:id="356" w:name="_Ref125370187"/>
            <w:bookmarkEnd w:id="356"/>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2"/>
              <w:widowControl w:val="false"/>
              <w:spacing w:lineRule="auto" w:line="240" w:before="60" w:after="60"/>
              <w:rPr/>
            </w:pPr>
            <w:r>
              <w:rPr>
                <w:rFonts w:eastAsia="Calibri" w:cs="Arial"/>
                <w:kern w:val="0"/>
                <w:sz w:val="26"/>
                <w:szCs w:val="22"/>
                <w:lang w:val="ru-RU" w:eastAsia="en-US" w:bidi="ar-SA"/>
              </w:rPr>
              <w:t>План распределения объемов поставки продукции (форма 11)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 с указанием необходимой информации;</w:t>
            </w:r>
          </w:p>
        </w:tc>
      </w:tr>
      <w:tr>
        <w:trPr/>
        <w:tc>
          <w:tcPr>
            <w:tcW w:w="1128" w:type="dxa"/>
            <w:tcBorders/>
          </w:tcPr>
          <w:p>
            <w:pPr>
              <w:pStyle w:val="Style22"/>
              <w:widowControl w:val="false"/>
              <w:numPr>
                <w:ilvl w:val="0"/>
                <w:numId w:val="5"/>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57" w:name="_Ref125370199"/>
            <w:bookmarkStart w:id="358" w:name="_Ref125370199"/>
            <w:bookmarkEnd w:id="358"/>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Генеральный подрядчик должен доказать, что каждый из привлекаемых им субподрядчиков:</w:t>
            </w:r>
          </w:p>
          <w:p>
            <w:pPr>
              <w:pStyle w:val="Style22"/>
              <w:widowControl w:val="false"/>
              <w:numPr>
                <w:ilvl w:val="0"/>
                <w:numId w:val="14"/>
              </w:numPr>
              <w:spacing w:lineRule="auto" w:line="240" w:before="60" w:after="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осведомлен о привлечении его в качестве субподрядчика;</w:t>
            </w:r>
          </w:p>
          <w:p>
            <w:pPr>
              <w:pStyle w:val="Style22"/>
              <w:widowControl w:val="false"/>
              <w:numPr>
                <w:ilvl w:val="0"/>
                <w:numId w:val="14"/>
              </w:numPr>
              <w:spacing w:lineRule="auto" w:line="240" w:before="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22"/>
              <w:widowControl w:val="false"/>
              <w:numPr>
                <w:ilvl w:val="0"/>
                <w:numId w:val="5"/>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59" w:name="_Ref125370193"/>
            <w:bookmarkStart w:id="360" w:name="_Ref125370193"/>
            <w:bookmarkEnd w:id="360"/>
          </w:p>
        </w:tc>
        <w:tc>
          <w:tcPr>
            <w:tcW w:w="5671" w:type="dxa"/>
            <w:tcBorders/>
          </w:tcPr>
          <w:p>
            <w:pPr>
              <w:pStyle w:val="Style22"/>
              <w:widowControl w:val="false"/>
              <w:spacing w:lineRule="auto" w:line="240" w:before="60" w:after="60"/>
              <w:rPr/>
            </w:pPr>
            <w:r>
              <w:rPr>
                <w:rFonts w:eastAsia="Calibri" w:cs="Arial"/>
                <w:kern w:val="0"/>
                <w:sz w:val="26"/>
                <w:szCs w:val="22"/>
                <w:lang w:val="ru-RU" w:eastAsia="en-US" w:bidi="ar-SA"/>
              </w:rPr>
              <w:t>Соответствие каждого субподрядчика установленным требованиям (с учетом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_Ref125368863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10)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Сведения и документы, аналогичные установленным в подразделах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_Ref125553242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2"/>
              <w:widowControl w:val="false"/>
              <w:numPr>
                <w:ilvl w:val="0"/>
                <w:numId w:val="5"/>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61" w:name="_Ref125553847"/>
            <w:bookmarkStart w:id="362" w:name="_Ref125553847"/>
            <w:bookmarkEnd w:id="362"/>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Дополнительные требования не установлены.</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Дополнительные требования не установлены.</w:t>
            </w:r>
          </w:p>
        </w:tc>
      </w:tr>
    </w:tbl>
    <w:p>
      <w:pPr>
        <w:pStyle w:val="Style17"/>
        <w:spacing w:before="360" w:after="120"/>
        <w:rPr/>
      </w:pPr>
      <w:bookmarkStart w:id="363" w:name="_Ref125710517"/>
      <w:bookmarkStart w:id="364" w:name="_Toc230928877"/>
      <w:bookmarkStart w:id="365" w:name="_Ref125710480"/>
      <w:bookmarkStart w:id="366" w:name="_Ref125710459"/>
      <w:bookmarkStart w:id="367" w:name="_Ref125553821"/>
      <w:bookmarkStart w:id="368" w:name="_Ref125553513"/>
      <w:bookmarkStart w:id="369" w:name="_Ref125550566"/>
      <w:bookmarkStart w:id="370" w:name="_Ref125550523"/>
      <w:bookmarkStart w:id="371" w:name="_Ref125550560"/>
      <w:r>
        <w:rPr/>
        <w:t>Дополнительные требования в отношении Генеральных подрядчиков с обязательным привлечением субподрядчиков (соисполнителей) из числа субъектов МСП</w:t>
      </w:r>
      <w:bookmarkEnd w:id="363"/>
      <w:bookmarkEnd w:id="364"/>
      <w:bookmarkEnd w:id="365"/>
      <w:bookmarkEnd w:id="366"/>
      <w:bookmarkEnd w:id="367"/>
      <w:bookmarkEnd w:id="368"/>
      <w:bookmarkEnd w:id="369"/>
      <w:bookmarkEnd w:id="370"/>
      <w:bookmarkEnd w:id="371"/>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5671"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Генеральному подрядчику</w:t>
            </w:r>
          </w:p>
        </w:tc>
        <w:tc>
          <w:tcPr>
            <w:tcW w:w="8327" w:type="dxa"/>
            <w:tcBorders/>
          </w:tcPr>
          <w:p>
            <w:pPr>
              <w:pStyle w:val="Style22"/>
              <w:keepNext w:val="fals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2"/>
              <w:widowControl w:val="false"/>
              <w:numPr>
                <w:ilvl w:val="0"/>
                <w:numId w:val="11"/>
              </w:numPr>
              <w:spacing w:lineRule="auto" w:line="240" w:before="60" w:after="60"/>
              <w:ind w:left="284"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5671"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Дополнительные требования не установлены.</w:t>
            </w:r>
          </w:p>
        </w:tc>
        <w:tc>
          <w:tcPr>
            <w:tcW w:w="8327"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Дополнительные требования не установлены.</w:t>
            </w:r>
          </w:p>
        </w:tc>
      </w:tr>
    </w:tbl>
    <w:p>
      <w:pPr>
        <w:sectPr>
          <w:headerReference w:type="default" r:id="rId18"/>
          <w:headerReference w:type="first" r:id="rId19"/>
          <w:footerReference w:type="default" r:id="rId20"/>
          <w:footerReference w:type="first" r:id="rId2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16"/>
        <w:spacing w:before="0" w:after="0"/>
        <w:rPr/>
      </w:pPr>
      <w:bookmarkStart w:id="372" w:name="_Toc230928878"/>
      <w:bookmarkStart w:id="373" w:name="Прил04_ФормыЗаявки"/>
      <w:bookmarkEnd w:id="373"/>
      <w:r>
        <w:rPr/>
        <w:t>Приложение № 4 – Образцы форм документов, включаемых в состав заявки</w:t>
      </w:r>
      <w:bookmarkEnd w:id="372"/>
    </w:p>
    <w:p>
      <w:pPr>
        <w:pStyle w:val="Style17"/>
        <w:spacing w:before="360" w:after="0"/>
        <w:rPr/>
      </w:pPr>
      <w:bookmarkStart w:id="374" w:name="_Toc230928879"/>
      <w:r>
        <w:rPr/>
        <w:t>Пояснения к Образцам форм документов, включаемых в состав заявки</w:t>
      </w:r>
      <w:bookmarkEnd w:id="374"/>
    </w:p>
    <w:p>
      <w:pPr>
        <w:pStyle w:val="Style18"/>
        <w:spacing w:before="120" w:after="0"/>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w:t>
      </w:r>
    </w:p>
    <w:p>
      <w:pPr>
        <w:pStyle w:val="Style16"/>
        <w:spacing w:before="0" w:after="0"/>
        <w:rPr/>
      </w:pPr>
      <w:bookmarkStart w:id="375" w:name="_Toc230928880"/>
      <w:bookmarkStart w:id="376" w:name="Прил05_ФормыПобедителя"/>
      <w:bookmarkEnd w:id="376"/>
      <w:r>
        <w:rPr/>
        <w:t>Приложение № 5 – Образцы форм документов, предоставляемых Победителем</w:t>
      </w:r>
      <w:bookmarkEnd w:id="375"/>
    </w:p>
    <w:p>
      <w:pPr>
        <w:pStyle w:val="Style17"/>
        <w:spacing w:before="360" w:after="0"/>
        <w:rPr/>
      </w:pPr>
      <w:bookmarkStart w:id="377" w:name="_Toc230928881"/>
      <w:r>
        <w:rPr/>
        <w:t>Пояснения к Образцам форм документов, предоставляемых Победителем</w:t>
      </w:r>
      <w:bookmarkEnd w:id="377"/>
    </w:p>
    <w:p>
      <w:pPr>
        <w:pStyle w:val="Style18"/>
        <w:spacing w:before="120" w:after="0"/>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17"/>
        <w:spacing w:before="360" w:after="0"/>
        <w:rPr/>
      </w:pPr>
      <w:bookmarkStart w:id="378" w:name="_Toc230928882"/>
      <w:bookmarkStart w:id="379" w:name="_Ref130395470"/>
      <w:r>
        <w:rPr/>
        <w:t>Форма справки «Сведения о цепочке собственников, включая бенефициаров (в том числе конечных)»</w:t>
      </w:r>
      <w:bookmarkEnd w:id="378"/>
      <w:bookmarkEnd w:id="379"/>
    </w:p>
    <w:p>
      <w:pPr>
        <w:pStyle w:val="Style18"/>
        <w:spacing w:before="120" w:after="0"/>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18"/>
        <w:spacing w:before="0" w:after="0"/>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p>
    <w:p>
      <w:pPr>
        <w:pStyle w:val="Style22"/>
        <w:jc w:val="center"/>
        <w:rPr/>
      </w:pPr>
      <w:bookmarkStart w:id="380" w:name="_MON_1817895658"/>
      <w:bookmarkEnd w:id="380"/>
      <w:r>
        <w:rPr/>
        <w:drawing>
          <wp:inline distT="0" distB="0" distL="0" distR="0">
            <wp:extent cx="1152525" cy="733425"/>
            <wp:effectExtent l="0" t="0" r="0" b="0"/>
            <wp:docPr id="3"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2" descr=""/>
                    <pic:cNvPicPr>
                      <a:picLocks noChangeAspect="1" noChangeArrowheads="1"/>
                    </pic:cNvPicPr>
                  </pic:nvPicPr>
                  <pic:blipFill>
                    <a:blip r:embed="rId22"/>
                    <a:stretch>
                      <a:fillRect/>
                    </a:stretch>
                  </pic:blipFill>
                  <pic:spPr bwMode="auto">
                    <a:xfrm>
                      <a:off x="0" y="0"/>
                      <a:ext cx="1152525" cy="733425"/>
                    </a:xfrm>
                    <a:prstGeom prst="rect">
                      <a:avLst/>
                    </a:prstGeom>
                  </pic:spPr>
                </pic:pic>
              </a:graphicData>
            </a:graphic>
          </wp:inline>
        </w:drawing>
      </w:r>
    </w:p>
    <w:p>
      <w:pPr>
        <w:pStyle w:val="Style17"/>
        <w:spacing w:before="360" w:after="0"/>
        <w:rPr/>
      </w:pPr>
      <w:bookmarkStart w:id="381" w:name="_Ref130395475"/>
      <w:bookmarkStart w:id="382" w:name="_Toc230928883"/>
      <w:r>
        <w:rPr/>
        <w:t>Форма «Заверение об обстоятельствах»</w:t>
      </w:r>
      <w:bookmarkEnd w:id="381"/>
      <w:bookmarkEnd w:id="382"/>
    </w:p>
    <w:p>
      <w:pPr>
        <w:pStyle w:val="Style18"/>
        <w:spacing w:before="120" w:after="0"/>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18"/>
        <w:spacing w:before="0" w:after="0"/>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18"/>
        <w:spacing w:before="0" w:after="0"/>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18"/>
        <w:keepNext w:val="true"/>
        <w:spacing w:before="0" w:after="0"/>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p>
    <w:p>
      <w:pPr>
        <w:pStyle w:val="Style22"/>
        <w:spacing w:before="120" w:after="120"/>
        <w:jc w:val="center"/>
        <w:rPr/>
      </w:pPr>
      <w:bookmarkStart w:id="383" w:name="_MON_1741074184"/>
      <w:bookmarkEnd w:id="383"/>
      <w:r>
        <w:rPr/>
        <w:drawing>
          <wp:inline distT="0" distB="0" distL="0" distR="0">
            <wp:extent cx="1152525" cy="733425"/>
            <wp:effectExtent l="0" t="0" r="0" b="0"/>
            <wp:docPr id="4"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3" descr=""/>
                    <pic:cNvPicPr>
                      <a:picLocks noChangeAspect="1" noChangeArrowheads="1"/>
                    </pic:cNvPicPr>
                  </pic:nvPicPr>
                  <pic:blipFill>
                    <a:blip r:embed="rId23"/>
                    <a:stretch>
                      <a:fillRect/>
                    </a:stretch>
                  </pic:blipFill>
                  <pic:spPr bwMode="auto">
                    <a:xfrm>
                      <a:off x="0" y="0"/>
                      <a:ext cx="1152525" cy="733425"/>
                    </a:xfrm>
                    <a:prstGeom prst="rect">
                      <a:avLst/>
                    </a:prstGeom>
                  </pic:spPr>
                </pic:pic>
              </a:graphicData>
            </a:graphic>
          </wp:inline>
        </w:drawing>
      </w:r>
    </w:p>
    <w:p>
      <w:pPr>
        <w:pStyle w:val="Style16"/>
        <w:spacing w:before="0" w:after="0"/>
        <w:rPr/>
      </w:pPr>
      <w:bookmarkStart w:id="384" w:name="_Ref125362865"/>
      <w:bookmarkStart w:id="385" w:name="Прил06_СоставЗаявки"/>
      <w:bookmarkStart w:id="386" w:name="_Toc230928884"/>
      <w:bookmarkStart w:id="387" w:name="_Ref125362900"/>
      <w:bookmarkEnd w:id="385"/>
      <w:r>
        <w:rPr/>
        <w:t>Приложение № 6 – Состав заявки</w:t>
      </w:r>
      <w:bookmarkEnd w:id="384"/>
      <w:bookmarkEnd w:id="386"/>
      <w:bookmarkEnd w:id="387"/>
    </w:p>
    <w:p>
      <w:pPr>
        <w:pStyle w:val="Style17"/>
        <w:spacing w:before="360" w:after="0"/>
        <w:rPr/>
      </w:pPr>
      <w:bookmarkStart w:id="388" w:name="_Toc230928885"/>
      <w:r>
        <w:rPr/>
        <w:t>Состав заявки</w:t>
      </w:r>
      <w:bookmarkEnd w:id="388"/>
    </w:p>
    <w:p>
      <w:pPr>
        <w:pStyle w:val="Style18"/>
        <w:spacing w:before="120" w:after="120"/>
        <w:rPr/>
      </w:pPr>
      <w:r>
        <w:rPr/>
        <w:t xml:space="preserve">Заявка на участие в закупке должна содержать следующий комплект документов (по установленным формам и в соответствии с инструкциями, приведенными в </w:t>
      </w:r>
      <w:hyperlink w:anchor="Прил04_ФормыЗаявки" w:tgtFrame="#Прил04_ФормыЗаявки">
        <w:r>
          <w:rPr>
            <w:rStyle w:val="Style6"/>
          </w:rPr>
          <w:t>Приложении № 4</w:t>
        </w:r>
      </w:hyperlink>
      <w:r>
        <w:rPr/>
        <w:t>):</w:t>
      </w:r>
    </w:p>
    <w:tbl>
      <w:tblPr>
        <w:tblStyle w:val="1518"/>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tc>
          <w:tcPr>
            <w:tcW w:w="707"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w:t>
            </w:r>
            <w:r>
              <w:rPr>
                <w:rFonts w:eastAsia="Calibri" w:cs="Arial"/>
                <w:b/>
                <w:kern w:val="0"/>
                <w:sz w:val="26"/>
                <w:szCs w:val="22"/>
                <w:lang w:val="ru-RU" w:eastAsia="en-US" w:bidi="ar-SA"/>
              </w:rPr>
              <w:br/>
              <w:t>п/п</w:t>
            </w:r>
          </w:p>
        </w:tc>
        <w:tc>
          <w:tcPr>
            <w:tcW w:w="8075"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Наименование документа</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Письмо о подаче оферты (форма 2);</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tgtFrame="#Прил01_ТехТребования">
              <w:r>
                <w:rPr>
                  <w:rStyle w:val="Style6"/>
                  <w:rFonts w:eastAsia="Calibri" w:cs="Arial"/>
                  <w:kern w:val="0"/>
                  <w:sz w:val="26"/>
                  <w:szCs w:val="22"/>
                  <w:lang w:val="ru-RU" w:eastAsia="en-US" w:bidi="ar-SA"/>
                </w:rPr>
                <w:t>Техническими требованиями (Приложение № 1)</w:t>
              </w:r>
            </w:hyperlink>
            <w:r>
              <w:rPr>
                <w:rFonts w:eastAsia="Calibri" w:cs="Arial"/>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Техническое предложение (форма 4);</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Анкета Участника (форма 5);</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89" w:name="_Ref130389408"/>
            <w:bookmarkStart w:id="390" w:name="_Ref130389408"/>
            <w:bookmarkEnd w:id="390"/>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Справка об опыте Участника (форма 6),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_Ref125709154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xml:space="preserve">) и (или) если в </w:t>
            </w:r>
            <w:hyperlink w:anchor="Прил08_ПорядокОценки" w:tgtFrame="#Прил08_ПорядокОценки">
              <w:r>
                <w:rPr>
                  <w:rStyle w:val="Style6"/>
                  <w:rFonts w:eastAsia="Calibri" w:cs="Arial"/>
                  <w:kern w:val="0"/>
                  <w:sz w:val="26"/>
                  <w:szCs w:val="22"/>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91" w:name="_Ref130389413"/>
            <w:bookmarkStart w:id="392" w:name="_Ref130389413"/>
            <w:bookmarkEnd w:id="392"/>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Справка о материально-технических ресурсах (форма 7),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_Ref125709154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xml:space="preserve">) и (или) если в </w:t>
            </w:r>
            <w:hyperlink w:anchor="Прил08_ПорядокОценки" w:tgtFrame="#Прил08_ПорядокОценки">
              <w:r>
                <w:rPr>
                  <w:rStyle w:val="Style6"/>
                  <w:rFonts w:eastAsia="Calibri" w:cs="Arial"/>
                  <w:kern w:val="0"/>
                  <w:sz w:val="26"/>
                  <w:szCs w:val="22"/>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bookmarkStart w:id="393" w:name="_Ref130389419"/>
            <w:bookmarkStart w:id="394" w:name="_Ref130389419"/>
            <w:bookmarkEnd w:id="394"/>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Справка о кадровых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_Ref125709154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xml:space="preserve">) и (или) если в </w:t>
            </w:r>
            <w:hyperlink w:anchor="Прил08_ПорядокОценки" w:tgtFrame="#Прил08_ПорядокОценки">
              <w:r>
                <w:rPr>
                  <w:rStyle w:val="Style6"/>
                  <w:rFonts w:eastAsia="Calibri" w:cs="Arial"/>
                  <w:kern w:val="0"/>
                  <w:sz w:val="26"/>
                  <w:szCs w:val="22"/>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tgtFrame="#Прил08_ПорядокОценки">
              <w:r>
                <w:rPr>
                  <w:rStyle w:val="Style6"/>
                  <w:rFonts w:eastAsia="Calibri" w:cs="Arial"/>
                  <w:kern w:val="0"/>
                  <w:sz w:val="26"/>
                  <w:szCs w:val="22"/>
                  <w:lang w:val="ru-RU" w:eastAsia="en-US" w:bidi="ar-SA"/>
                </w:rPr>
                <w:t>Порядке и критериях оценки и сопоставления заявок (Приложение № 8)</w:t>
              </w:r>
            </w:hyperlink>
            <w:r>
              <w:rPr>
                <w:rFonts w:eastAsia="Calibri" w:cs="Arial"/>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Normal"/>
              <w:widowControl w:val="false"/>
              <w:spacing w:lineRule="auto" w:line="240" w:before="120" w:after="0"/>
              <w:jc w:val="both"/>
              <w:rPr/>
            </w:pPr>
            <w:r>
              <w:rPr>
                <w:rFonts w:eastAsia="Calibri" w:cs="Arial"/>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_Ref125709153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_Ref125709228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_Ref130305355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а именно:</w:t>
            </w:r>
          </w:p>
          <w:p>
            <w:pPr>
              <w:pStyle w:val="Style22"/>
              <w:widowControl w:val="false"/>
              <w:numPr>
                <w:ilvl w:val="0"/>
                <w:numId w:val="9"/>
              </w:numPr>
              <w:spacing w:lineRule="auto" w:line="240" w:before="60" w:after="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План распределения объемов поставки продукции (форма 10);</w:t>
            </w:r>
          </w:p>
          <w:p>
            <w:pPr>
              <w:pStyle w:val="Style22"/>
              <w:widowControl w:val="false"/>
              <w:numPr>
                <w:ilvl w:val="0"/>
                <w:numId w:val="9"/>
              </w:numPr>
              <w:spacing w:lineRule="auto" w:line="240" w:before="0" w:after="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_Ref125366972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3.2.3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Документации о закупке;</w:t>
            </w:r>
          </w:p>
          <w:p>
            <w:pPr>
              <w:pStyle w:val="Style22"/>
              <w:widowControl w:val="false"/>
              <w:numPr>
                <w:ilvl w:val="0"/>
                <w:numId w:val="9"/>
              </w:numPr>
              <w:spacing w:lineRule="auto" w:line="240" w:before="0" w:after="60"/>
              <w:ind w:left="284" w:hanging="284"/>
              <w:rPr/>
            </w:pPr>
            <w:r>
              <w:rPr>
                <w:rFonts w:eastAsia="Calibri" w:cs="Arial"/>
                <w:kern w:val="0"/>
                <w:sz w:val="26"/>
                <w:szCs w:val="22"/>
                <w:lang w:val="ru-RU" w:eastAsia="en-US" w:bidi="ar-SA"/>
              </w:rPr>
              <w:t>прочие документы, определенные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_Ref125709228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Style w:val="Style6"/>
                <w:rFonts w:eastAsia="Calibri" w:cs="Arial"/>
                <w:kern w:val="0"/>
                <w:sz w:val="26"/>
                <w:szCs w:val="22"/>
                <w:lang w:val="ru-RU" w:eastAsia="en-US" w:bidi="ar-SA"/>
              </w:rPr>
              <w:t>;</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 предоставляются, если условиями проводимой закупки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_Ref125361702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а именно:</w:t>
            </w:r>
          </w:p>
          <w:p>
            <w:pPr>
              <w:pStyle w:val="Style22"/>
              <w:widowControl w:val="false"/>
              <w:numPr>
                <w:ilvl w:val="0"/>
                <w:numId w:val="9"/>
              </w:numPr>
              <w:spacing w:lineRule="auto" w:line="240" w:before="60" w:after="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План распределения объемов поставки продукции (форма 10);</w:t>
            </w:r>
          </w:p>
          <w:p>
            <w:pPr>
              <w:pStyle w:val="Style22"/>
              <w:widowControl w:val="false"/>
              <w:numPr>
                <w:ilvl w:val="0"/>
                <w:numId w:val="9"/>
              </w:numPr>
              <w:spacing w:lineRule="auto" w:line="240" w:before="0" w:after="60"/>
              <w:ind w:left="284" w:hanging="284"/>
              <w:rPr/>
            </w:pPr>
            <w:r>
              <w:rPr>
                <w:rFonts w:eastAsia="Calibri" w:cs="Arial"/>
                <w:kern w:val="0"/>
                <w:sz w:val="26"/>
                <w:szCs w:val="22"/>
                <w:lang w:val="ru-RU" w:eastAsia="en-US" w:bidi="ar-SA"/>
              </w:rPr>
              <w:t>прочие документы, определенные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Style w:val="Style6"/>
                <w:rFonts w:eastAsia="Calibri" w:cs="Arial"/>
                <w:kern w:val="0"/>
                <w:sz w:val="26"/>
                <w:szCs w:val="22"/>
                <w:lang w:val="ru-RU" w:eastAsia="en-US" w:bidi="ar-SA"/>
              </w:rPr>
              <w:t>;</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Документации о закупке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_Ref125710459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8.7</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Приложения № 3</w:t>
              </w:r>
            </w:hyperlink>
            <w:r>
              <w:rPr>
                <w:rFonts w:eastAsia="Calibri" w:cs="Arial"/>
                <w:kern w:val="0"/>
                <w:sz w:val="26"/>
                <w:szCs w:val="22"/>
                <w:lang w:val="ru-RU" w:eastAsia="en-US" w:bidi="ar-SA"/>
              </w:rPr>
              <w:t>) – предоставляются, если условиями проводимой закупки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предусмотрено участие в закупке Участников, которые должны привлечь к исполнению Договора субподрядчиков (соисполнителей) из числа субъектов МСП (подраздел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_Ref127524203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а именно План распределения объемов поставки продукции (форма 10);</w:t>
            </w:r>
          </w:p>
        </w:tc>
      </w:tr>
      <w:tr>
        <w:trPr/>
        <w:tc>
          <w:tcPr>
            <w:tcW w:w="707" w:type="dxa"/>
            <w:tcBorders/>
          </w:tcPr>
          <w:p>
            <w:pPr>
              <w:pStyle w:val="Style22"/>
              <w:widowControl w:val="false"/>
              <w:numPr>
                <w:ilvl w:val="0"/>
                <w:numId w:val="6"/>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075" w:type="dxa"/>
            <w:tcBorders/>
          </w:tcPr>
          <w:p>
            <w:pPr>
              <w:pStyle w:val="Style22"/>
              <w:widowControl w:val="false"/>
              <w:spacing w:lineRule="auto" w:line="240" w:before="60" w:after="60"/>
              <w:rPr/>
            </w:pPr>
            <w:r>
              <w:rPr>
                <w:rFonts w:eastAsia="Calibri" w:cs="Arial"/>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r>
              <w:rPr>
                <w:rFonts w:eastAsia="Calibri" w:cs="Arial"/>
                <w:kern w:val="0"/>
                <w:sz w:val="26"/>
                <w:szCs w:val="22"/>
                <w:lang w:val="ru-RU" w:eastAsia="en-US" w:bidi="ar-SA"/>
              </w:rPr>
              <w:t xml:space="preserve"> – предоставляются, если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r>
              <w:rPr>
                <w:rFonts w:eastAsia="Calibri" w:cs="Arial"/>
                <w:kern w:val="0"/>
                <w:sz w:val="26"/>
                <w:szCs w:val="22"/>
                <w:lang w:val="ru-RU" w:eastAsia="en-US" w:bidi="ar-SA"/>
              </w:rPr>
              <w:t xml:space="preserve"> было установлено соответствующее требование;</w:t>
            </w:r>
          </w:p>
        </w:tc>
      </w:tr>
    </w:tbl>
    <w:p>
      <w:pPr>
        <w:sectPr>
          <w:headerReference w:type="default" r:id="rId24"/>
          <w:headerReference w:type="first" r:id="rId25"/>
          <w:footerReference w:type="default" r:id="rId26"/>
          <w:footerReference w:type="first" r:id="rId2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18"/>
        <w:spacing w:before="120" w:after="0"/>
        <w:rPr>
          <w:rStyle w:val="Style3"/>
          <w:i w:val="false"/>
          <w:i w:val="false"/>
          <w:iCs w:val="false"/>
          <w:shd w:fill="auto" w:val="clear"/>
        </w:rPr>
      </w:pPr>
      <w:r>
        <w:rPr>
          <w:rStyle w:val="Style3"/>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16"/>
        <w:spacing w:before="0" w:after="0"/>
        <w:rPr/>
      </w:pPr>
      <w:bookmarkStart w:id="395" w:name="Прил07_ОтборочныеКритерии"/>
      <w:bookmarkStart w:id="396" w:name="_Toc230928886"/>
      <w:bookmarkStart w:id="397" w:name="_Ref125365264"/>
      <w:bookmarkEnd w:id="395"/>
      <w:r>
        <w:rPr/>
        <w:t>Приложение № 7 – Отборочные критерии рассмотрения заявок</w:t>
      </w:r>
      <w:bookmarkEnd w:id="396"/>
      <w:bookmarkEnd w:id="397"/>
    </w:p>
    <w:p>
      <w:pPr>
        <w:pStyle w:val="Style17"/>
        <w:spacing w:before="360" w:after="120"/>
        <w:rPr>
          <w:rStyle w:val="Style3"/>
          <w:i w:val="false"/>
          <w:i w:val="false"/>
          <w:iCs w:val="false"/>
          <w:shd w:fill="auto" w:val="clear"/>
        </w:rPr>
      </w:pPr>
      <w:bookmarkStart w:id="398" w:name="_Toc230928887"/>
      <w:r>
        <w:rPr>
          <w:rStyle w:val="Style3"/>
          <w:i w:val="false"/>
          <w:iCs w:val="false"/>
          <w:shd w:fill="auto" w:val="clear"/>
        </w:rPr>
        <w:t>Отборочные критерии рассмотрения заявок</w:t>
      </w:r>
      <w:bookmarkEnd w:id="398"/>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tc>
          <w:tcPr>
            <w:tcW w:w="1412"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Номер</w:t>
              <w:br/>
              <w:t>критерия</w:t>
            </w:r>
          </w:p>
        </w:tc>
        <w:tc>
          <w:tcPr>
            <w:tcW w:w="8506"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Наименование</w:t>
              <w:br/>
              <w:t>отборочного критерия</w:t>
            </w:r>
          </w:p>
        </w:tc>
        <w:tc>
          <w:tcPr>
            <w:tcW w:w="3117"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Номер пункта</w:t>
              <w:br/>
              <w:t>Документации о закупке</w:t>
            </w:r>
          </w:p>
        </w:tc>
        <w:tc>
          <w:tcPr>
            <w:tcW w:w="2090"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Направления</w:t>
              <w:br/>
              <w:t>оценки заявок*</w:t>
            </w:r>
          </w:p>
        </w:tc>
      </w:tr>
      <w:tr>
        <w:trPr/>
        <w:tc>
          <w:tcPr>
            <w:tcW w:w="9918" w:type="dxa"/>
            <w:gridSpan w:val="2"/>
            <w:tcBorders/>
          </w:tcPr>
          <w:p>
            <w:pPr>
              <w:pStyle w:val="Style22"/>
              <w:keepNext w:val="true"/>
              <w:widowControl w:val="false"/>
              <w:spacing w:lineRule="auto" w:line="240" w:before="60" w:after="60"/>
              <w:rPr>
                <w:b/>
                <w:bCs/>
              </w:rPr>
            </w:pPr>
            <w:r>
              <w:rPr>
                <w:rFonts w:eastAsia="Calibri" w:cs="Arial"/>
                <w:b/>
                <w:bCs/>
                <w:kern w:val="0"/>
                <w:sz w:val="26"/>
                <w:szCs w:val="22"/>
                <w:lang w:val="ru-RU" w:eastAsia="en-US" w:bidi="ar-SA"/>
              </w:rPr>
              <w:t>Состав заявки и правильность ее оформления, в том числе:</w:t>
            </w:r>
          </w:p>
        </w:tc>
        <w:tc>
          <w:tcPr>
            <w:tcW w:w="3117" w:type="dxa"/>
            <w:tcBorders/>
          </w:tcPr>
          <w:p>
            <w:pPr>
              <w:pStyle w:val="Style22"/>
              <w:widowControl w:val="false"/>
              <w:spacing w:lineRule="auto" w:line="240" w:before="60" w:after="60"/>
              <w:jc w:val="center"/>
              <w:rPr>
                <w:b/>
                <w:bCs/>
              </w:rPr>
            </w:pPr>
            <w:r>
              <w:rPr>
                <w:rFonts w:eastAsia="Calibri" w:cs="Arial"/>
                <w:b/>
                <w:bCs/>
                <w:kern w:val="0"/>
                <w:sz w:val="26"/>
                <w:szCs w:val="22"/>
                <w:lang w:val="ru-RU" w:eastAsia="en-US" w:bidi="ar-SA"/>
              </w:rPr>
              <w:t>–</w:t>
            </w:r>
          </w:p>
        </w:tc>
        <w:tc>
          <w:tcPr>
            <w:tcW w:w="2090" w:type="dxa"/>
            <w:tcBorders/>
          </w:tcPr>
          <w:p>
            <w:pPr>
              <w:pStyle w:val="Style22"/>
              <w:widowControl w:val="false"/>
              <w:spacing w:lineRule="auto" w:line="240" w:before="60" w:after="60"/>
              <w:jc w:val="center"/>
              <w:rPr>
                <w:b/>
                <w:bCs/>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tgtFrame="#Прил06_СоставЗаявки">
              <w:r>
                <w:rPr>
                  <w:rStyle w:val="Style6"/>
                  <w:rFonts w:eastAsia="Calibri" w:cs="Arial"/>
                  <w:kern w:val="0"/>
                  <w:sz w:val="26"/>
                  <w:szCs w:val="22"/>
                  <w:lang w:val="ru-RU" w:eastAsia="en-US" w:bidi="ar-SA"/>
                </w:rPr>
                <w:t>Приложения № 6 «Состав заявки»</w:t>
              </w:r>
            </w:hyperlink>
            <w:r>
              <w:rPr>
                <w:rFonts w:eastAsia="Calibri" w:cs="Arial"/>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2"/>
              <w:widowControl w:val="false"/>
              <w:spacing w:lineRule="auto" w:line="240" w:before="60" w:after="60"/>
              <w:jc w:val="center"/>
              <w:rPr>
                <w:rStyle w:val="Style6"/>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w:t>
              <w:br/>
            </w:r>
            <w:hyperlink w:anchor="Прил06_СоставЗаявки" w:tgtFrame="#Прил06_СоставЗаявки">
              <w:r>
                <w:rPr>
                  <w:rStyle w:val="Style6"/>
                  <w:rFonts w:eastAsia="Calibri" w:cs="Arial"/>
                  <w:kern w:val="0"/>
                  <w:sz w:val="26"/>
                  <w:szCs w:val="22"/>
                  <w:lang w:val="ru-RU" w:eastAsia="en-US" w:bidi="ar-SA"/>
                </w:rPr>
                <w:t>Приложение № 6</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 Тех,</w:t>
              <w:br/>
              <w:t>Цена, Юр</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_Ref135749133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4.9</w:t>
            </w:r>
            <w:r>
              <w:rPr>
                <w:sz w:val="26"/>
                <w:kern w:val="0"/>
                <w:szCs w:val="22"/>
                <w:rFonts w:eastAsia="Calibri" w:cs="Arial"/>
                <w:lang w:val="ru-RU" w:eastAsia="en-US" w:bidi="ar-SA"/>
              </w:rPr>
              <w:fldChar w:fldCharType="end"/>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 Тех,</w:t>
              <w:br/>
              <w:t>Цена, Юр</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_Ref130455226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4.17</w:t>
            </w:r>
            <w:r>
              <w:rPr>
                <w:sz w:val="26"/>
                <w:kern w:val="0"/>
                <w:szCs w:val="22"/>
                <w:rFonts w:eastAsia="Calibri" w:cs="Arial"/>
                <w:lang w:val="ru-RU" w:eastAsia="en-US" w:bidi="ar-SA"/>
              </w:rPr>
              <w:fldChar w:fldCharType="end"/>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 – в части наличия сведений в реестре,</w:t>
            </w:r>
          </w:p>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Фин – в части соответствия</w:t>
            </w:r>
          </w:p>
        </w:tc>
      </w:tr>
      <w:tr>
        <w:trPr/>
        <w:tc>
          <w:tcPr>
            <w:tcW w:w="9918" w:type="dxa"/>
            <w:gridSpan w:val="2"/>
            <w:tcBorders/>
          </w:tcPr>
          <w:p>
            <w:pPr>
              <w:pStyle w:val="Style22"/>
              <w:keepNext w:val="true"/>
              <w:widowControl w:val="false"/>
              <w:spacing w:lineRule="auto" w:line="240" w:before="60" w:after="60"/>
              <w:rPr>
                <w:b/>
                <w:bCs/>
              </w:rPr>
            </w:pPr>
            <w:r>
              <w:rPr>
                <w:rFonts w:eastAsia="Calibri" w:cs="Arial"/>
                <w:b/>
                <w:bCs/>
                <w:kern w:val="0"/>
                <w:sz w:val="26"/>
                <w:szCs w:val="22"/>
                <w:lang w:val="ru-RU" w:eastAsia="en-US" w:bidi="ar-SA"/>
              </w:rPr>
              <w:t>Соответствие Письма о подаче оферты:</w:t>
            </w:r>
          </w:p>
        </w:tc>
        <w:tc>
          <w:tcPr>
            <w:tcW w:w="3117" w:type="dxa"/>
            <w:tcBorders/>
          </w:tcPr>
          <w:p>
            <w:pPr>
              <w:pStyle w:val="Style22"/>
              <w:keepNext w:val="true"/>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c>
          <w:tcPr>
            <w:tcW w:w="2090" w:type="dxa"/>
            <w:tcBorders/>
          </w:tcPr>
          <w:p>
            <w:pPr>
              <w:pStyle w:val="Style22"/>
              <w:keepNext w:val="true"/>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(при наличии), подписей, формы заверения, языка, валюты и срока действия заявки</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_Ref125362119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w:t>
            </w:r>
          </w:p>
        </w:tc>
      </w:tr>
      <w:tr>
        <w:trPr/>
        <w:tc>
          <w:tcPr>
            <w:tcW w:w="9918" w:type="dxa"/>
            <w:gridSpan w:val="2"/>
            <w:tcBorders/>
          </w:tcPr>
          <w:p>
            <w:pPr>
              <w:pStyle w:val="Style22"/>
              <w:keepNext w:val="true"/>
              <w:widowControl w:val="false"/>
              <w:spacing w:lineRule="auto" w:line="240" w:before="60" w:after="60"/>
              <w:rPr>
                <w:b/>
                <w:bCs/>
              </w:rPr>
            </w:pPr>
            <w:r>
              <w:rPr>
                <w:rFonts w:eastAsia="Calibri" w:cs="Arial"/>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2"/>
              <w:widowControl w:val="false"/>
              <w:spacing w:lineRule="auto" w:line="240" w:before="60" w:after="60"/>
              <w:jc w:val="center"/>
              <w:rPr>
                <w:b/>
                <w:bCs/>
              </w:rPr>
            </w:pPr>
            <w:r>
              <w:rPr>
                <w:rFonts w:eastAsia="Calibri" w:cs="Arial"/>
                <w:b/>
                <w:bCs/>
                <w:kern w:val="0"/>
                <w:sz w:val="26"/>
                <w:szCs w:val="22"/>
                <w:lang w:val="ru-RU" w:eastAsia="en-US" w:bidi="ar-SA"/>
              </w:rPr>
              <w:t>–</w:t>
            </w:r>
          </w:p>
        </w:tc>
        <w:tc>
          <w:tcPr>
            <w:tcW w:w="2090" w:type="dxa"/>
            <w:tcBorders/>
          </w:tcPr>
          <w:p>
            <w:pPr>
              <w:pStyle w:val="Style22"/>
              <w:widowControl w:val="false"/>
              <w:spacing w:lineRule="auto" w:line="240" w:before="60" w:after="60"/>
              <w:jc w:val="center"/>
              <w:rPr>
                <w:b/>
                <w:bCs/>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_Ref125552433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2"/>
              <w:widowControl w:val="false"/>
              <w:spacing w:lineRule="auto" w:line="240" w:before="60" w:after="60"/>
              <w:rPr>
                <w:i/>
                <w:i/>
                <w:iCs/>
              </w:rPr>
            </w:pPr>
            <w:r>
              <w:rPr>
                <w:rFonts w:eastAsia="Calibri" w:cs="Arial"/>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Arial"/>
                <w:i/>
                <w:iCs/>
                <w:kern w:val="0"/>
                <w:sz w:val="26"/>
                <w:szCs w:val="22"/>
                <w:lang w:val="en-US" w:eastAsia="en-US" w:bidi="ar-SA"/>
              </w:rPr>
              <w:t> </w:t>
            </w:r>
            <w:r>
              <w:rPr>
                <w:rFonts w:eastAsia="Calibri" w:cs="Arial"/>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_Ref138232981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5.2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 Юр</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_Ref139028406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_Ref186213321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2"/>
              <w:widowControl w:val="false"/>
              <w:spacing w:lineRule="auto" w:line="240" w:before="60" w:after="60"/>
              <w:rPr>
                <w:i/>
                <w:i/>
                <w:iCs/>
              </w:rPr>
            </w:pPr>
            <w:r>
              <w:rPr>
                <w:rFonts w:eastAsia="Calibri" w:cs="Arial"/>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_Ref130985951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4.13</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 xml:space="preserve">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_Ref186213053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Участника пункту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_Ref186213327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обязательных требований к Участникам</w:t>
            </w:r>
          </w:p>
          <w:p>
            <w:pPr>
              <w:pStyle w:val="Style22"/>
              <w:widowControl w:val="false"/>
              <w:spacing w:lineRule="auto" w:line="240" w:before="60" w:after="60"/>
              <w:rPr>
                <w:i/>
                <w:i/>
                <w:iCs/>
                <w:u w:val="single"/>
              </w:rPr>
            </w:pPr>
            <w:r>
              <w:rPr>
                <w:rFonts w:eastAsia="Calibri" w:cs="Arial"/>
                <w:i/>
                <w:iCs/>
                <w:kern w:val="0"/>
                <w:sz w:val="26"/>
                <w:szCs w:val="22"/>
                <w:u w:val="single"/>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Arial"/>
                <w:i/>
                <w:iCs/>
                <w:kern w:val="0"/>
                <w:sz w:val="26"/>
                <w:szCs w:val="22"/>
                <w:u w:val="single"/>
                <w:lang w:val="ru-RU" w:eastAsia="en-US" w:bidi="ar-SA"/>
              </w:rPr>
              <w:fldChar w:fldCharType="begin"/>
            </w:r>
            <w:r>
              <w:rPr>
                <w:sz w:val="26"/>
                <w:i/>
                <w:u w:val="single"/>
                <w:kern w:val="0"/>
                <w:szCs w:val="22"/>
                <w:iCs/>
                <w:rFonts w:eastAsia="Calibri" w:cs="Arial"/>
                <w:lang w:val="ru-RU" w:eastAsia="en-US" w:bidi="ar-SA"/>
              </w:rPr>
              <w:instrText xml:space="preserve"> REF _Ref130985951 \r \h </w:instrText>
            </w:r>
            <w:r>
              <w:rPr>
                <w:sz w:val="26"/>
                <w:i/>
                <w:u w:val="single"/>
                <w:kern w:val="0"/>
                <w:szCs w:val="22"/>
                <w:iCs/>
                <w:rFonts w:eastAsia="Calibri" w:cs="Arial"/>
                <w:lang w:val="ru-RU" w:eastAsia="en-US" w:bidi="ar-SA"/>
              </w:rPr>
              <w:fldChar w:fldCharType="separate"/>
            </w:r>
            <w:r>
              <w:rPr>
                <w:sz w:val="26"/>
                <w:i/>
                <w:u w:val="single"/>
                <w:kern w:val="0"/>
                <w:szCs w:val="22"/>
                <w:iCs/>
                <w:rFonts w:eastAsia="Calibri" w:cs="Arial"/>
                <w:lang w:val="ru-RU" w:eastAsia="en-US" w:bidi="ar-SA"/>
              </w:rPr>
              <w:t>4.13</w:t>
            </w:r>
            <w:r>
              <w:rPr>
                <w:sz w:val="26"/>
                <w:i/>
                <w:u w:val="single"/>
                <w:kern w:val="0"/>
                <w:szCs w:val="22"/>
                <w:iCs/>
                <w:rFonts w:eastAsia="Calibri" w:cs="Arial"/>
                <w:lang w:val="ru-RU" w:eastAsia="en-US" w:bidi="ar-SA"/>
              </w:rPr>
              <w:fldChar w:fldCharType="end"/>
            </w:r>
            <w:r>
              <w:rPr>
                <w:rFonts w:eastAsia="Calibri" w:cs="Arial"/>
                <w:i/>
                <w:iCs/>
                <w:kern w:val="0"/>
                <w:sz w:val="26"/>
                <w:szCs w:val="22"/>
                <w:u w:val="single"/>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 xml:space="preserve">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_Ref186213053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_Ref125361435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Участника специальным требованиям к Участникам</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_Ref125361442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Участника квалификационным требованиям к Участникам</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_Ref125550270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8.4</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Коллективного участника установленным в отношении его требованиям:</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_Ref130305355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3.2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1"/>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numPr>
                <w:ilvl w:val="0"/>
                <w:numId w:val="9"/>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части требований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_Ref125370156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p>
          <w:p>
            <w:pPr>
              <w:pStyle w:val="Style22"/>
              <w:widowControl w:val="false"/>
              <w:spacing w:lineRule="auto" w:line="240" w:before="60" w:after="60"/>
              <w:ind w:left="219" w:hanging="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_Ref138232981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5.2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_Ref125552455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Юр</w:t>
            </w:r>
          </w:p>
        </w:tc>
      </w:tr>
      <w:tr>
        <w:trPr/>
        <w:tc>
          <w:tcPr>
            <w:tcW w:w="1412" w:type="dxa"/>
            <w:tcBorders/>
          </w:tcPr>
          <w:p>
            <w:pPr>
              <w:pStyle w:val="Style22"/>
              <w:widowControl w:val="false"/>
              <w:numPr>
                <w:ilvl w:val="1"/>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numPr>
                <w:ilvl w:val="0"/>
                <w:numId w:val="9"/>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части требований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_Ref125553738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_Ref125552455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1"/>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numPr>
                <w:ilvl w:val="0"/>
                <w:numId w:val="9"/>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части требований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_Ref125370162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w:t>
            </w:r>
            <w:r>
              <w:rPr>
                <w:sz w:val="26"/>
                <w:kern w:val="0"/>
                <w:szCs w:val="22"/>
                <w:rFonts w:eastAsia="Calibri" w:cs="Arial"/>
                <w:lang w:val="ru-RU" w:eastAsia="en-US" w:bidi="ar-SA"/>
              </w:rPr>
              <w:fldChar w:fldCharType="end"/>
            </w:r>
          </w:p>
          <w:p>
            <w:pPr>
              <w:pStyle w:val="Style22"/>
              <w:widowControl w:val="false"/>
              <w:spacing w:lineRule="auto" w:line="240" w:before="60" w:after="60"/>
              <w:ind w:left="219" w:hanging="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_Ref138232981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5.2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_Ref125552455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8.5</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 Тех,</w:t>
              <w:br/>
              <w:t>Юр</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Генерального подрядчика установленным в отношении его требованиям:</w:t>
            </w:r>
          </w:p>
          <w:p>
            <w:pPr>
              <w:pStyle w:val="Style22"/>
              <w:widowControl w:val="false"/>
              <w:spacing w:lineRule="auto" w:line="240" w:before="60" w:after="60"/>
              <w:rPr>
                <w:i/>
                <w:i/>
                <w:iCs/>
              </w:rPr>
            </w:pPr>
            <w:r>
              <w:rPr>
                <w:rFonts w:eastAsia="Calibri" w:cs="Arial"/>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_Ref125359973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1.2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_Ref125361702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3.3</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1"/>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numPr>
                <w:ilvl w:val="0"/>
                <w:numId w:val="9"/>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части требований пунктов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_Ref125370187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_Ref125370199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_Ref125553847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w:t>
            </w:r>
            <w:r>
              <w:rPr>
                <w:sz w:val="26"/>
                <w:kern w:val="0"/>
                <w:szCs w:val="22"/>
                <w:rFonts w:eastAsia="Calibri" w:cs="Arial"/>
                <w:lang w:val="ru-RU" w:eastAsia="en-US" w:bidi="ar-SA"/>
              </w:rPr>
              <w:fldChar w:fldCharType="end"/>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1"/>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numPr>
                <w:ilvl w:val="0"/>
                <w:numId w:val="9"/>
              </w:numPr>
              <w:spacing w:lineRule="auto" w:line="240" w:before="60" w:after="60"/>
              <w:ind w:left="284" w:hanging="284"/>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 части требований пункта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_Ref125370193 \w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3</w:t>
            </w:r>
            <w:r>
              <w:rPr>
                <w:sz w:val="26"/>
                <w:kern w:val="0"/>
                <w:szCs w:val="22"/>
                <w:rFonts w:eastAsia="Calibri" w:cs="Arial"/>
                <w:lang w:val="ru-RU" w:eastAsia="en-US" w:bidi="ar-SA"/>
              </w:rPr>
              <w:fldChar w:fldCharType="end"/>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_Ref125709777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8.6</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 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Генерального подрядчика с обязательным привлечением субподрядчиков (соисполнителей) из числа субъектов МСП установленным в отношении его требованиям</w:t>
            </w:r>
          </w:p>
          <w:p>
            <w:pPr>
              <w:pStyle w:val="Style22"/>
              <w:widowControl w:val="false"/>
              <w:spacing w:lineRule="auto" w:line="240" w:before="60" w:after="60"/>
              <w:rPr>
                <w:i/>
                <w:i/>
                <w:iCs/>
              </w:rPr>
            </w:pPr>
            <w:r>
              <w:rPr>
                <w:rFonts w:eastAsia="Calibri" w:cs="Arial"/>
                <w:i/>
                <w:iCs/>
                <w:kern w:val="0"/>
                <w:sz w:val="26"/>
                <w:szCs w:val="22"/>
                <w:lang w:val="ru-RU" w:eastAsia="en-US" w:bidi="ar-SA"/>
              </w:rPr>
              <w:t>(пункт применяется только в случае проведения закупки, участвовать в которой могут только лица, обязанные привлечь к исполнению Договора субподрядчиков (соисполнителей) из числа субъектов МСП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_Ref125359973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1.2</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_Ref127524203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3.4</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_Ref125550523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8.7</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t>(</w:t>
            </w:r>
            <w:hyperlink w:anchor="Прил03_ТребованияУчастникам" w:tgtFrame="#Прил03_ТребованияУчастникам">
              <w:r>
                <w:rPr>
                  <w:rStyle w:val="Style6"/>
                  <w:rFonts w:eastAsia="Calibri" w:cs="Arial"/>
                  <w:kern w:val="0"/>
                  <w:sz w:val="26"/>
                  <w:szCs w:val="22"/>
                  <w:lang w:val="ru-RU" w:eastAsia="en-US" w:bidi="ar-SA"/>
                </w:rPr>
                <w:t>Приложение № 3</w:t>
              </w:r>
            </w:hyperlink>
            <w:r>
              <w:rPr>
                <w:rFonts w:eastAsia="Calibri" w:cs="Arial"/>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Орг</w:t>
            </w:r>
          </w:p>
        </w:tc>
      </w:tr>
      <w:tr>
        <w:trPr/>
        <w:tc>
          <w:tcPr>
            <w:tcW w:w="9918" w:type="dxa"/>
            <w:gridSpan w:val="2"/>
            <w:tcBorders/>
          </w:tcPr>
          <w:p>
            <w:pPr>
              <w:pStyle w:val="Style22"/>
              <w:keepNext w:val="true"/>
              <w:widowControl w:val="false"/>
              <w:spacing w:lineRule="auto" w:line="240" w:before="60" w:after="60"/>
              <w:rPr>
                <w:b/>
                <w:bCs/>
              </w:rPr>
            </w:pPr>
            <w:r>
              <w:rPr>
                <w:rFonts w:eastAsia="Calibri" w:cs="Arial"/>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Style w:val="Style6"/>
                  <w:rFonts w:eastAsia="Calibri" w:cs="Arial"/>
                  <w:b/>
                  <w:bCs/>
                  <w:kern w:val="0"/>
                  <w:sz w:val="26"/>
                  <w:szCs w:val="22"/>
                  <w:lang w:val="ru-RU" w:eastAsia="en-US" w:bidi="ar-SA"/>
                </w:rPr>
                <w:t>Техническим требованиям (Приложение № 1)</w:t>
              </w:r>
            </w:hyperlink>
            <w:r>
              <w:rPr>
                <w:rFonts w:eastAsia="Calibri" w:cs="Arial"/>
                <w:b/>
                <w:bCs/>
                <w:kern w:val="0"/>
                <w:sz w:val="26"/>
                <w:szCs w:val="22"/>
                <w:lang w:val="ru-RU" w:eastAsia="en-US" w:bidi="ar-SA"/>
              </w:rPr>
              <w:t>, в том числе:</w:t>
            </w:r>
          </w:p>
        </w:tc>
        <w:tc>
          <w:tcPr>
            <w:tcW w:w="3117" w:type="dxa"/>
            <w:tcBorders/>
          </w:tcPr>
          <w:p>
            <w:pPr>
              <w:pStyle w:val="Style22"/>
              <w:keepNext w:val="true"/>
              <w:widowControl w:val="false"/>
              <w:spacing w:lineRule="auto" w:line="240" w:before="60" w:after="60"/>
              <w:jc w:val="center"/>
              <w:rPr>
                <w:b/>
                <w:bCs/>
              </w:rPr>
            </w:pPr>
            <w:r>
              <w:rPr>
                <w:rFonts w:eastAsia="Calibri" w:cs="Arial"/>
                <w:b/>
                <w:bCs/>
                <w:kern w:val="0"/>
                <w:sz w:val="26"/>
                <w:szCs w:val="22"/>
                <w:lang w:val="ru-RU" w:eastAsia="en-US" w:bidi="ar-SA"/>
              </w:rPr>
              <w:t>–</w:t>
            </w:r>
          </w:p>
        </w:tc>
        <w:tc>
          <w:tcPr>
            <w:tcW w:w="2090" w:type="dxa"/>
            <w:tcBorders/>
          </w:tcPr>
          <w:p>
            <w:pPr>
              <w:pStyle w:val="Style22"/>
              <w:keepNext w:val="true"/>
              <w:widowControl w:val="false"/>
              <w:spacing w:lineRule="auto" w:line="240" w:before="60" w:after="60"/>
              <w:jc w:val="center"/>
              <w:rPr>
                <w:b/>
                <w:bCs/>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22"/>
              <w:widowControl w:val="false"/>
              <w:spacing w:lineRule="auto" w:line="240" w:before="60" w:after="60"/>
              <w:rPr>
                <w:i/>
                <w:i/>
                <w:iCs/>
              </w:rPr>
            </w:pPr>
            <w:r>
              <w:rPr>
                <w:rFonts w:eastAsia="Calibri" w:cs="Arial"/>
                <w:i/>
                <w:iCs/>
                <w:kern w:val="0"/>
                <w:sz w:val="26"/>
                <w:szCs w:val="22"/>
                <w:lang w:val="ru-RU" w:eastAsia="en-US" w:bidi="ar-SA"/>
              </w:rPr>
              <w:t>(пункт применяется только в случае исполнения Заказчиком</w:t>
            </w:r>
            <w:r>
              <w:rPr>
                <w:rFonts w:eastAsia="Calibri" w:cs="Arial"/>
                <w:kern w:val="0"/>
                <w:sz w:val="26"/>
                <w:szCs w:val="22"/>
                <w:lang w:val="ru-RU" w:eastAsia="en-US" w:bidi="ar-SA"/>
              </w:rPr>
              <w:t xml:space="preserve"> </w:t>
            </w:r>
            <w:r>
              <w:rPr>
                <w:rFonts w:eastAsia="Calibri" w:cs="Arial"/>
                <w:i/>
                <w:iCs/>
                <w:kern w:val="0"/>
                <w:sz w:val="26"/>
                <w:szCs w:val="22"/>
                <w:lang w:val="ru-RU" w:eastAsia="en-US" w:bidi="ar-SA"/>
              </w:rPr>
              <w:t>норм в части минимальной обязательной доли закупок товаров российского происхождения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_Ref186213053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4.13</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_Ref130985951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_Ref130985951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r>
              <w:rPr>
                <w:rFonts w:eastAsia="Calibri" w:cs="Arial"/>
                <w:kern w:val="0"/>
                <w:sz w:val="26"/>
                <w:szCs w:val="22"/>
                <w:lang w:val="ru-RU" w:eastAsia="en-US" w:bidi="ar-SA"/>
              </w:rPr>
              <w:t xml:space="preserve"> и (или) в </w:t>
            </w:r>
            <w:hyperlink w:anchor="Прил02_ПроектДоговора" w:tgtFrame="#Прил02_ПроектДоговора">
              <w:r>
                <w:rPr>
                  <w:rStyle w:val="Style6"/>
                  <w:rFonts w:eastAsia="Calibri" w:cs="Arial"/>
                  <w:kern w:val="0"/>
                  <w:sz w:val="26"/>
                  <w:szCs w:val="22"/>
                  <w:lang w:val="ru-RU" w:eastAsia="en-US" w:bidi="ar-SA"/>
                </w:rPr>
                <w:t>Проекте договора (Приложение № 2)</w:t>
              </w:r>
            </w:hyperlink>
            <w:r>
              <w:rPr>
                <w:rFonts w:eastAsia="Calibri" w:cs="Arial"/>
                <w:kern w:val="0"/>
                <w:sz w:val="26"/>
                <w:szCs w:val="22"/>
                <w:lang w:val="ru-RU" w:eastAsia="en-US" w:bidi="ar-SA"/>
              </w:rPr>
              <w:t>, или согласие с ними в Письме о подаче оферты</w:t>
            </w:r>
          </w:p>
        </w:tc>
        <w:tc>
          <w:tcPr>
            <w:tcW w:w="3117" w:type="dxa"/>
            <w:tcBorders/>
          </w:tcPr>
          <w:p>
            <w:pPr>
              <w:pStyle w:val="Style22"/>
              <w:widowControl w:val="false"/>
              <w:spacing w:lineRule="auto" w:line="240" w:before="60" w:after="60"/>
              <w:jc w:val="center"/>
              <w:rPr/>
            </w:pP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r>
              <w:rPr>
                <w:rFonts w:eastAsia="Calibri" w:cs="Arial"/>
                <w:kern w:val="0"/>
                <w:sz w:val="26"/>
                <w:szCs w:val="22"/>
                <w:lang w:val="ru-RU" w:eastAsia="en-US" w:bidi="ar-SA"/>
              </w:rPr>
              <w:t>,</w:t>
              <w:br/>
            </w:r>
            <w:hyperlink w:anchor="Прил02_ПроектДоговора" w:tgtFrame="#Прил02_ПроектДоговора">
              <w:r>
                <w:rPr>
                  <w:rStyle w:val="Style6"/>
                  <w:rFonts w:eastAsia="Calibri" w:cs="Arial"/>
                  <w:kern w:val="0"/>
                  <w:sz w:val="26"/>
                  <w:szCs w:val="22"/>
                  <w:lang w:val="ru-RU" w:eastAsia="en-US" w:bidi="ar-SA"/>
                </w:rPr>
                <w:t>Приложение № 2</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r>
              <w:rPr>
                <w:rFonts w:eastAsia="Calibri" w:cs="Arial"/>
                <w:kern w:val="0"/>
                <w:sz w:val="26"/>
                <w:szCs w:val="22"/>
                <w:lang w:val="ru-RU" w:eastAsia="en-US" w:bidi="ar-SA"/>
              </w:rPr>
              <w:t xml:space="preserve"> и (или) в </w:t>
            </w:r>
            <w:hyperlink w:anchor="Прил02_ПроектДоговора" w:tgtFrame="#Прил02_ПроектДоговора">
              <w:r>
                <w:rPr>
                  <w:rStyle w:val="Style6"/>
                  <w:rFonts w:eastAsia="Calibri" w:cs="Arial"/>
                  <w:kern w:val="0"/>
                  <w:sz w:val="26"/>
                  <w:szCs w:val="22"/>
                  <w:lang w:val="ru-RU" w:eastAsia="en-US" w:bidi="ar-SA"/>
                </w:rPr>
                <w:t>Проекте договора (Приложение № 2)</w:t>
              </w:r>
            </w:hyperlink>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2"/>
              <w:widowControl w:val="false"/>
              <w:spacing w:lineRule="auto" w:line="240" w:before="60" w:after="60"/>
              <w:jc w:val="center"/>
              <w:rPr/>
            </w:pP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r>
              <w:rPr>
                <w:rFonts w:eastAsia="Calibri" w:cs="Arial"/>
                <w:kern w:val="0"/>
                <w:sz w:val="26"/>
                <w:szCs w:val="22"/>
                <w:lang w:val="ru-RU" w:eastAsia="en-US" w:bidi="ar-SA"/>
              </w:rPr>
              <w:t>,</w:t>
              <w:br/>
            </w:r>
            <w:hyperlink w:anchor="Прил02_ПроектДоговора" w:tgtFrame="#Прил02_ПроектДоговора">
              <w:r>
                <w:rPr>
                  <w:rStyle w:val="Style6"/>
                  <w:rFonts w:eastAsia="Calibri" w:cs="Arial"/>
                  <w:kern w:val="0"/>
                  <w:sz w:val="26"/>
                  <w:szCs w:val="22"/>
                  <w:lang w:val="ru-RU" w:eastAsia="en-US" w:bidi="ar-SA"/>
                </w:rPr>
                <w:t>Приложение № 2</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r>
              <w:rPr>
                <w:rFonts w:eastAsia="Calibri" w:cs="Arial"/>
                <w:kern w:val="0"/>
                <w:sz w:val="26"/>
                <w:szCs w:val="22"/>
                <w:lang w:val="ru-RU" w:eastAsia="en-US" w:bidi="ar-SA"/>
              </w:rPr>
              <w:t>, с предоставлением требуемых подтверждающих документов / сведений</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2"/>
              <w:widowControl w:val="false"/>
              <w:spacing w:lineRule="auto" w:line="240" w:before="60" w:after="60"/>
              <w:jc w:val="center"/>
              <w:rPr/>
            </w:pP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9918" w:type="dxa"/>
            <w:gridSpan w:val="2"/>
            <w:tcBorders/>
          </w:tcPr>
          <w:p>
            <w:pPr>
              <w:pStyle w:val="Style22"/>
              <w:keepNext w:val="true"/>
              <w:widowControl w:val="false"/>
              <w:spacing w:lineRule="auto" w:line="240" w:before="60" w:after="60"/>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
                <w:bCs/>
                <w:kern w:val="0"/>
                <w:sz w:val="26"/>
                <w:szCs w:val="22"/>
                <w:lang w:val="ru-RU" w:eastAsia="en-US" w:bidi="ar-SA"/>
              </w:rPr>
              <w:t>–</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представленных в составе Коммерческого предложения (и приложениях к нему) документах).</w:t>
            </w:r>
          </w:p>
        </w:tc>
        <w:tc>
          <w:tcPr>
            <w:tcW w:w="3117"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_Ref135749133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4.9</w:t>
            </w:r>
            <w:r>
              <w:rPr>
                <w:sz w:val="26"/>
                <w:kern w:val="0"/>
                <w:szCs w:val="22"/>
                <w:rFonts w:eastAsia="Calibri" w:cs="Arial"/>
                <w:lang w:val="ru-RU" w:eastAsia="en-US" w:bidi="ar-SA"/>
              </w:rPr>
              <w:fldChar w:fldCharType="end"/>
            </w:r>
          </w:p>
          <w:p>
            <w:pPr>
              <w:pStyle w:val="Style22"/>
              <w:widowControl w:val="false"/>
              <w:spacing w:lineRule="auto" w:line="240" w:before="60" w:after="60"/>
              <w:jc w:val="center"/>
              <w:rPr/>
            </w:pPr>
            <w:r>
              <w:rPr>
                <w:rFonts w:eastAsia="Calibri" w:cs="Arial"/>
                <w:kern w:val="0"/>
                <w:sz w:val="26"/>
                <w:szCs w:val="22"/>
                <w:lang w:val="ru-RU" w:eastAsia="en-US" w:bidi="ar-SA"/>
              </w:rPr>
              <w:t>Приложение №1,</w:t>
              <w:br/>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Цена</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t>)</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_Ref130985951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4.13</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r>
              <w:rPr>
                <w:rFonts w:eastAsia="Calibri" w:cs="Arial"/>
                <w:kern w:val="0"/>
                <w:sz w:val="26"/>
                <w:szCs w:val="22"/>
                <w:lang w:val="ru-RU" w:eastAsia="en-US" w:bidi="ar-SA"/>
              </w:rPr>
              <w:t>подразделы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_Ref130394681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_Ref130985951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4.13</w:t>
            </w:r>
            <w:r>
              <w:rPr>
                <w:sz w:val="26"/>
                <w:kern w:val="0"/>
                <w:szCs w:val="22"/>
                <w:rFonts w:eastAsia="Calibri" w:cs="Arial"/>
                <w:lang w:val="ru-RU" w:eastAsia="en-US" w:bidi="ar-SA"/>
              </w:rPr>
              <w:fldChar w:fldCharType="end"/>
            </w:r>
            <w:r>
              <w:rPr>
                <w:rFonts w:eastAsia="Calibri" w:cs="Arial"/>
                <w:kern w:val="0"/>
                <w:sz w:val="26"/>
                <w:szCs w:val="22"/>
                <w:lang w:val="ru-RU" w:eastAsia="en-US" w:bidi="ar-SA"/>
              </w:rPr>
              <w:br/>
            </w:r>
            <w:hyperlink w:anchor="Прил04_ФормыЗаявки" w:tgtFrame="#Прил04_ФормыЗаявки">
              <w:r>
                <w:rPr>
                  <w:rStyle w:val="Style6"/>
                  <w:rFonts w:eastAsia="Calibri" w:cs="Arial"/>
                  <w:kern w:val="0"/>
                  <w:sz w:val="26"/>
                  <w:szCs w:val="22"/>
                  <w:lang w:val="ru-RU" w:eastAsia="en-US" w:bidi="ar-SA"/>
                </w:rPr>
                <w:t>Приложение № 4</w:t>
              </w:r>
            </w:hyperlink>
            <w:r>
              <w:rPr>
                <w:rFonts w:eastAsia="Calibri" w:cs="Arial"/>
                <w:kern w:val="0"/>
                <w:sz w:val="26"/>
                <w:szCs w:val="22"/>
                <w:lang w:val="ru-RU" w:eastAsia="en-US" w:bidi="ar-SA"/>
              </w:rPr>
              <w:br/>
              <w:t>(форма Коммерческого предложения)</w:t>
            </w:r>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Тех</w:t>
            </w:r>
          </w:p>
        </w:tc>
      </w:tr>
      <w:tr>
        <w:trPr/>
        <w:tc>
          <w:tcPr>
            <w:tcW w:w="1412" w:type="dxa"/>
            <w:tcBorders/>
          </w:tcPr>
          <w:p>
            <w:pPr>
              <w:pStyle w:val="Style22"/>
              <w:widowControl w:val="false"/>
              <w:numPr>
                <w:ilvl w:val="0"/>
                <w:numId w:val="7"/>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506" w:type="dxa"/>
            <w:tcBorders/>
          </w:tcPr>
          <w:p>
            <w:pPr>
              <w:pStyle w:val="Style22"/>
              <w:widowControl w:val="false"/>
              <w:spacing w:lineRule="auto" w:line="240" w:before="60" w:after="60"/>
              <w:rPr/>
            </w:pPr>
            <w:r>
              <w:rPr>
                <w:rFonts w:eastAsia="Calibri" w:cs="Arial"/>
                <w:kern w:val="0"/>
                <w:sz w:val="26"/>
                <w:szCs w:val="22"/>
                <w:lang w:val="ru-RU" w:eastAsia="en-US" w:bidi="ar-SA"/>
              </w:rPr>
              <w:t>Соответствие подтверждающей документации, прилагаемой к</w:t>
            </w:r>
            <w:r>
              <w:rPr>
                <w:rFonts w:eastAsia="Calibri" w:cs="Arial"/>
                <w:kern w:val="0"/>
                <w:sz w:val="26"/>
                <w:szCs w:val="22"/>
                <w:lang w:val="en-US" w:eastAsia="en-US" w:bidi="ar-SA"/>
              </w:rPr>
              <w:t> </w:t>
            </w:r>
            <w:r>
              <w:rPr>
                <w:rFonts w:eastAsia="Calibri" w:cs="Arial"/>
                <w:kern w:val="0"/>
                <w:sz w:val="26"/>
                <w:szCs w:val="22"/>
                <w:lang w:val="ru-RU" w:eastAsia="en-US" w:bidi="ar-SA"/>
              </w:rPr>
              <w:t xml:space="preserve">Коммерческому приложению, требованиям, указанным в </w:t>
            </w:r>
            <w:hyperlink w:anchor="Прил01_ТехТребования" w:tgtFrame="#Прил01_ТехТребования">
              <w:r>
                <w:rPr>
                  <w:rStyle w:val="Style6"/>
                  <w:rFonts w:eastAsia="Calibri" w:cs="Arial"/>
                  <w:kern w:val="0"/>
                  <w:sz w:val="26"/>
                  <w:szCs w:val="22"/>
                  <w:lang w:val="ru-RU" w:eastAsia="en-US" w:bidi="ar-SA"/>
                </w:rPr>
                <w:t>Технических требованиях (Приложение № 1)</w:t>
              </w:r>
            </w:hyperlink>
          </w:p>
          <w:p>
            <w:pPr>
              <w:pStyle w:val="Style22"/>
              <w:widowControl w:val="false"/>
              <w:spacing w:lineRule="auto" w:line="240" w:before="60" w:after="60"/>
              <w:rPr/>
            </w:pPr>
            <w:r>
              <w:rPr>
                <w:rFonts w:eastAsia="Calibri" w:cs="Arial"/>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tgtFrame="#Прил01_ТехТребования">
              <w:r>
                <w:rPr>
                  <w:rStyle w:val="Style6"/>
                  <w:rFonts w:eastAsia="Calibri" w:cs="Arial"/>
                  <w:i/>
                  <w:iCs/>
                  <w:kern w:val="0"/>
                  <w:sz w:val="26"/>
                  <w:szCs w:val="22"/>
                  <w:lang w:val="ru-RU" w:eastAsia="en-US" w:bidi="ar-SA"/>
                </w:rPr>
                <w:t>Технических требованиях (Приложение № 1)</w:t>
              </w:r>
            </w:hyperlink>
            <w:r>
              <w:rPr>
                <w:rFonts w:eastAsia="Calibri" w:cs="Arial"/>
                <w:i/>
                <w:iCs/>
                <w:kern w:val="0"/>
                <w:sz w:val="26"/>
                <w:szCs w:val="22"/>
                <w:lang w:val="ru-RU" w:eastAsia="en-US" w:bidi="ar-SA"/>
              </w:rPr>
              <w:t>)</w:t>
            </w:r>
          </w:p>
        </w:tc>
        <w:tc>
          <w:tcPr>
            <w:tcW w:w="3117" w:type="dxa"/>
            <w:tcBorders/>
          </w:tcPr>
          <w:p>
            <w:pPr>
              <w:pStyle w:val="Style22"/>
              <w:widowControl w:val="false"/>
              <w:spacing w:lineRule="auto" w:line="240" w:before="60" w:after="60"/>
              <w:jc w:val="center"/>
              <w:rPr/>
            </w:pPr>
            <w:hyperlink w:anchor="Прил01_ТехТребования" w:tgtFrame="#Прил01_ТехТребования">
              <w:r>
                <w:rPr>
                  <w:rStyle w:val="Style6"/>
                  <w:rFonts w:eastAsia="Calibri" w:cs="Arial"/>
                  <w:kern w:val="0"/>
                  <w:sz w:val="26"/>
                  <w:szCs w:val="22"/>
                  <w:lang w:val="ru-RU" w:eastAsia="en-US" w:bidi="ar-SA"/>
                </w:rPr>
                <w:t>Приложение № 1</w:t>
              </w:r>
            </w:hyperlink>
          </w:p>
        </w:tc>
        <w:tc>
          <w:tcPr>
            <w:tcW w:w="209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Цена</w:t>
            </w:r>
          </w:p>
        </w:tc>
      </w:tr>
    </w:tbl>
    <w:p>
      <w:pPr>
        <w:pStyle w:val="Style17"/>
        <w:rPr>
          <w:rStyle w:val="Style3"/>
          <w:i w:val="false"/>
          <w:i w:val="false"/>
          <w:iCs w:val="false"/>
          <w:shd w:fill="auto" w:val="clear"/>
        </w:rPr>
      </w:pPr>
      <w:bookmarkStart w:id="399" w:name="_Ref207284016"/>
      <w:bookmarkStart w:id="400" w:name="_Toc230928888"/>
      <w:r>
        <w:rPr>
          <w:rStyle w:val="Style3"/>
          <w:i w:val="false"/>
          <w:iCs w:val="false"/>
          <w:shd w:fill="auto" w:val="clear"/>
        </w:rPr>
        <w:t>Дополнительные критерии проверки заявок на соответствие условиям Документации о закупке</w:t>
      </w:r>
      <w:bookmarkEnd w:id="399"/>
      <w:bookmarkEnd w:id="400"/>
    </w:p>
    <w:p>
      <w:pPr>
        <w:pStyle w:val="Style22"/>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1518"/>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03"/>
        <w:gridCol w:w="8179"/>
        <w:gridCol w:w="3473"/>
        <w:gridCol w:w="2070"/>
      </w:tblGrid>
      <w:tr>
        <w:trPr/>
        <w:tc>
          <w:tcPr>
            <w:tcW w:w="1403"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Номер</w:t>
              <w:br/>
              <w:t>критерия</w:t>
            </w:r>
          </w:p>
        </w:tc>
        <w:tc>
          <w:tcPr>
            <w:tcW w:w="8179"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Наименование</w:t>
              <w:br/>
              <w:t>критерия проверки</w:t>
            </w:r>
          </w:p>
        </w:tc>
        <w:tc>
          <w:tcPr>
            <w:tcW w:w="3473"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Номер пункта</w:t>
              <w:br/>
              <w:t>Документации о закупке</w:t>
            </w:r>
          </w:p>
        </w:tc>
        <w:tc>
          <w:tcPr>
            <w:tcW w:w="2070" w:type="dxa"/>
            <w:tcBorders/>
          </w:tcPr>
          <w:p>
            <w:pPr>
              <w:pStyle w:val="Style22"/>
              <w:keepNext w:val="true"/>
              <w:keepLines w:val="false"/>
              <w:widowControl w:val="false"/>
              <w:spacing w:lineRule="auto" w:line="240" w:before="60" w:after="60"/>
              <w:jc w:val="center"/>
              <w:rPr>
                <w:rFonts w:ascii="Times New Roman" w:hAnsi="Times New Roman" w:eastAsia="Calibri" w:cs="Arial"/>
                <w:b/>
                <w:sz w:val="26"/>
                <w:szCs w:val="22"/>
                <w:lang w:val="ru-RU" w:eastAsia="en-US" w:bidi="ar-SA"/>
              </w:rPr>
            </w:pPr>
            <w:r>
              <w:rPr>
                <w:rFonts w:eastAsia="Calibri" w:cs="Arial"/>
                <w:b/>
                <w:kern w:val="0"/>
                <w:sz w:val="26"/>
                <w:szCs w:val="22"/>
                <w:lang w:val="ru-RU" w:eastAsia="en-US" w:bidi="ar-SA"/>
              </w:rPr>
              <w:t>Направления</w:t>
              <w:br/>
              <w:t>оценки заявок*</w:t>
            </w:r>
          </w:p>
        </w:tc>
      </w:tr>
      <w:tr>
        <w:trPr/>
        <w:tc>
          <w:tcPr>
            <w:tcW w:w="1403" w:type="dxa"/>
            <w:tcBorders/>
          </w:tcPr>
          <w:p>
            <w:pPr>
              <w:pStyle w:val="Style22"/>
              <w:widowControl w:val="false"/>
              <w:numPr>
                <w:ilvl w:val="0"/>
                <w:numId w:val="13"/>
              </w:numPr>
              <w:spacing w:lineRule="auto" w:line="240" w:before="60" w:after="60"/>
              <w:ind w:left="170" w:hanging="0"/>
              <w:jc w:val="center"/>
              <w:rPr>
                <w:rFonts w:ascii="Times New Roman" w:hAnsi="Times New Roman" w:eastAsia="Calibri" w:cs="Arial"/>
                <w:sz w:val="26"/>
                <w:szCs w:val="22"/>
                <w:lang w:val="ru-RU" w:eastAsia="en-US" w:bidi="ar-SA"/>
              </w:rPr>
            </w:pPr>
            <w:r>
              <w:rPr>
                <w:rFonts w:eastAsia="Calibri" w:cs="Arial"/>
                <w:sz w:val="26"/>
                <w:szCs w:val="22"/>
                <w:lang w:val="ru-RU" w:eastAsia="en-US" w:bidi="ar-SA"/>
              </w:rPr>
            </w:r>
          </w:p>
        </w:tc>
        <w:tc>
          <w:tcPr>
            <w:tcW w:w="8179" w:type="dxa"/>
            <w:tcBorders/>
          </w:tcPr>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kern w:val="0"/>
                <w:sz w:val="26"/>
                <w:szCs w:val="22"/>
                <w:lang w:val="ru-RU" w:eastAsia="en-US" w:bidi="ar-SA"/>
              </w:rPr>
              <w:t>Возможность применения преимущества, если в подразделе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_Ref125359973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1.2</w:t>
            </w:r>
            <w:r>
              <w:rPr>
                <w:sz w:val="26"/>
                <w:kern w:val="0"/>
                <w:szCs w:val="22"/>
                <w:rFonts w:eastAsia="Calibri" w:cs="Arial"/>
                <w:lang w:val="ru-RU" w:eastAsia="en-US" w:bidi="ar-SA"/>
              </w:rPr>
              <w:fldChar w:fldCharType="end"/>
            </w:r>
            <w:r>
              <w:rPr>
                <w:rFonts w:eastAsia="Calibri" w:cs="Arial"/>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22"/>
              <w:widowControl w:val="false"/>
              <w:spacing w:lineRule="auto" w:line="240" w:before="60" w:after="60"/>
              <w:rPr>
                <w:rFonts w:ascii="Times New Roman" w:hAnsi="Times New Roman" w:eastAsia="Calibri" w:cs="Arial"/>
                <w:sz w:val="26"/>
                <w:szCs w:val="22"/>
                <w:lang w:val="ru-RU" w:eastAsia="en-US" w:bidi="ar-SA"/>
              </w:rPr>
            </w:pPr>
            <w:r>
              <w:rPr>
                <w:rFonts w:eastAsia="Calibri" w:cs="Arial"/>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Arial"/>
                <w:i/>
                <w:iCs/>
                <w:kern w:val="0"/>
                <w:sz w:val="26"/>
                <w:szCs w:val="22"/>
                <w:lang w:val="ru-RU" w:eastAsia="en-US" w:bidi="ar-SA"/>
              </w:rPr>
              <w:fldChar w:fldCharType="begin"/>
            </w:r>
            <w:r>
              <w:rPr>
                <w:sz w:val="26"/>
                <w:i/>
                <w:kern w:val="0"/>
                <w:szCs w:val="22"/>
                <w:iCs/>
                <w:rFonts w:eastAsia="Calibri" w:cs="Arial"/>
                <w:lang w:val="ru-RU" w:eastAsia="en-US" w:bidi="ar-SA"/>
              </w:rPr>
              <w:instrText xml:space="preserve"> REF _Ref130985951 \r \h </w:instrText>
            </w:r>
            <w:r>
              <w:rPr>
                <w:sz w:val="26"/>
                <w:i/>
                <w:kern w:val="0"/>
                <w:szCs w:val="22"/>
                <w:iCs/>
                <w:rFonts w:eastAsia="Calibri" w:cs="Arial"/>
                <w:lang w:val="ru-RU" w:eastAsia="en-US" w:bidi="ar-SA"/>
              </w:rPr>
              <w:fldChar w:fldCharType="separate"/>
            </w:r>
            <w:r>
              <w:rPr>
                <w:sz w:val="26"/>
                <w:i/>
                <w:kern w:val="0"/>
                <w:szCs w:val="22"/>
                <w:iCs/>
                <w:rFonts w:eastAsia="Calibri" w:cs="Arial"/>
                <w:lang w:val="ru-RU" w:eastAsia="en-US" w:bidi="ar-SA"/>
              </w:rPr>
              <w:t>4.13</w:t>
            </w:r>
            <w:r>
              <w:rPr>
                <w:sz w:val="26"/>
                <w:i/>
                <w:kern w:val="0"/>
                <w:szCs w:val="22"/>
                <w:iCs/>
                <w:rFonts w:eastAsia="Calibri" w:cs="Arial"/>
                <w:lang w:val="ru-RU" w:eastAsia="en-US" w:bidi="ar-SA"/>
              </w:rPr>
              <w:fldChar w:fldCharType="end"/>
            </w:r>
            <w:r>
              <w:rPr>
                <w:rFonts w:eastAsia="Calibri" w:cs="Arial"/>
                <w:i/>
                <w:iCs/>
                <w:kern w:val="0"/>
                <w:sz w:val="26"/>
                <w:szCs w:val="22"/>
                <w:lang w:val="ru-RU" w:eastAsia="en-US" w:bidi="ar-SA"/>
              </w:rPr>
              <w:t>))</w:t>
            </w:r>
          </w:p>
        </w:tc>
        <w:tc>
          <w:tcPr>
            <w:tcW w:w="3473"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Cs/>
                <w:kern w:val="0"/>
                <w:sz w:val="26"/>
                <w:szCs w:val="22"/>
                <w:lang w:val="ru-RU" w:eastAsia="en-US" w:bidi="ar-SA"/>
              </w:rPr>
              <w:t>подраздел </w:t>
            </w:r>
            <w:r>
              <w:rPr>
                <w:rFonts w:eastAsia="Calibri" w:cs="Arial"/>
                <w:kern w:val="0"/>
                <w:sz w:val="26"/>
                <w:szCs w:val="22"/>
                <w:lang w:val="ru-RU" w:eastAsia="en-US" w:bidi="ar-SA"/>
              </w:rPr>
              <w:fldChar w:fldCharType="begin"/>
            </w:r>
            <w:r>
              <w:rPr>
                <w:sz w:val="26"/>
                <w:kern w:val="0"/>
                <w:szCs w:val="22"/>
                <w:rFonts w:eastAsia="Calibri" w:cs="Arial"/>
                <w:lang w:val="ru-RU" w:eastAsia="en-US" w:bidi="ar-SA"/>
              </w:rPr>
              <w:instrText xml:space="preserve"> REF _Ref130985951 \r \h </w:instrText>
            </w:r>
            <w:r>
              <w:rPr>
                <w:sz w:val="26"/>
                <w:kern w:val="0"/>
                <w:szCs w:val="22"/>
                <w:rFonts w:eastAsia="Calibri" w:cs="Arial"/>
                <w:lang w:val="ru-RU" w:eastAsia="en-US" w:bidi="ar-SA"/>
              </w:rPr>
              <w:fldChar w:fldCharType="separate"/>
            </w:r>
            <w:r>
              <w:rPr>
                <w:sz w:val="26"/>
                <w:kern w:val="0"/>
                <w:szCs w:val="22"/>
                <w:rFonts w:eastAsia="Calibri" w:cs="Arial"/>
                <w:lang w:val="ru-RU" w:eastAsia="en-US" w:bidi="ar-SA"/>
              </w:rPr>
              <w:t>4.13</w:t>
            </w:r>
            <w:r>
              <w:rPr>
                <w:sz w:val="26"/>
                <w:kern w:val="0"/>
                <w:szCs w:val="22"/>
                <w:rFonts w:eastAsia="Calibri" w:cs="Arial"/>
                <w:lang w:val="ru-RU" w:eastAsia="en-US" w:bidi="ar-SA"/>
              </w:rPr>
              <w:fldChar w:fldCharType="end"/>
            </w:r>
          </w:p>
        </w:tc>
        <w:tc>
          <w:tcPr>
            <w:tcW w:w="2070" w:type="dxa"/>
            <w:tcBorders/>
          </w:tcPr>
          <w:p>
            <w:pPr>
              <w:pStyle w:val="Style22"/>
              <w:widowControl w:val="false"/>
              <w:spacing w:lineRule="auto" w:line="240" w:before="60" w:after="60"/>
              <w:jc w:val="center"/>
              <w:rPr>
                <w:rFonts w:ascii="Times New Roman" w:hAnsi="Times New Roman" w:eastAsia="Calibri" w:cs="Arial"/>
                <w:sz w:val="26"/>
                <w:szCs w:val="22"/>
                <w:lang w:val="ru-RU" w:eastAsia="en-US" w:bidi="ar-SA"/>
              </w:rPr>
            </w:pPr>
            <w:r>
              <w:rPr>
                <w:rFonts w:eastAsia="Calibri" w:cs="Arial"/>
                <w:bCs/>
                <w:kern w:val="0"/>
                <w:sz w:val="26"/>
                <w:szCs w:val="22"/>
                <w:lang w:val="ru-RU" w:eastAsia="en-US" w:bidi="ar-SA"/>
              </w:rPr>
              <w:t>Тех</w:t>
            </w:r>
          </w:p>
        </w:tc>
      </w:tr>
    </w:tbl>
    <w:p>
      <w:pPr>
        <w:pStyle w:val="Style22"/>
        <w:keepNext w:val="true"/>
        <w:tabs>
          <w:tab w:val="clear" w:pos="708"/>
          <w:tab w:val="left" w:pos="851" w:leader="none"/>
        </w:tabs>
        <w:spacing w:before="240" w:after="0"/>
        <w:rPr>
          <w:b/>
          <w:bCs/>
        </w:rPr>
      </w:pPr>
      <w:r>
        <w:rPr>
          <w:b/>
          <w:bCs/>
        </w:rPr>
        <w:t>* Направления оценки заявок:</w:t>
      </w:r>
    </w:p>
    <w:p>
      <w:pPr>
        <w:pStyle w:val="Style22"/>
        <w:tabs>
          <w:tab w:val="clear" w:pos="708"/>
          <w:tab w:val="left" w:pos="1134" w:leader="none"/>
        </w:tabs>
        <w:ind w:left="1701" w:hanging="1701"/>
        <w:rPr/>
      </w:pPr>
      <w:r>
        <w:rPr>
          <w:b/>
          <w:bCs/>
        </w:rPr>
        <w:t>Орг</w:t>
      </w:r>
      <w:r>
        <w:rPr/>
        <w:tab/>
        <w:t>–</w:t>
        <w:tab/>
      </w:r>
      <w:bookmarkStart w:id="401" w:name="_Hlk138342484"/>
      <w:r>
        <w:rP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401"/>
      <w:r>
        <w:rPr/>
        <w:t xml:space="preserve">; </w:t>
      </w:r>
      <w:bookmarkStart w:id="402" w:name="_Hlk138342546"/>
      <w:r>
        <w:rPr/>
        <w:t xml:space="preserve">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w:t>
      </w:r>
      <w:bookmarkEnd w:id="402"/>
      <w:r>
        <w:rPr/>
        <w:t xml:space="preserve">,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при установлении требования об обязательном привлечении к исполнению Договора субподрядчиков (соисполнителей) из числа субъектов МСП – проверка субподрядчиков (соисполнителей), указанных Участником в Плане распределения поставки продукции, на наличие информации о таком субподрядчике (соисполнителе)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bookmarkStart w:id="403" w:name="_Hlk138342572"/>
      <w:r>
        <w:rPr/>
        <w:t>–</w:t>
      </w:r>
      <w:bookmarkEnd w:id="403"/>
      <w:r>
        <w:rPr/>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2"/>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 оценка Технических предложений и сведений, подтверждающих соответствия Участника квалификационным и специальным требованиям; </w:t>
      </w:r>
      <w:bookmarkStart w:id="404"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404"/>
      <w:r>
        <w:rPr/>
        <w:t>;</w:t>
      </w:r>
    </w:p>
    <w:p>
      <w:pPr>
        <w:pStyle w:val="Style22"/>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2"/>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(документации по ценообразованию),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непревышения ценового предложения участника установленного размера НМЦ;</w:t>
      </w:r>
    </w:p>
    <w:p>
      <w:pPr>
        <w:pStyle w:val="Style22"/>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pStyle w:val="Style22"/>
        <w:keepNext w:val="true"/>
        <w:tabs>
          <w:tab w:val="clear" w:pos="708"/>
          <w:tab w:val="left" w:pos="1134" w:leader="none"/>
        </w:tabs>
        <w:ind w:left="1701" w:hanging="1701"/>
        <w:rPr/>
      </w:pPr>
      <w:r>
        <w:rPr/>
      </w:r>
    </w:p>
    <w:p>
      <w:pPr>
        <w:sectPr>
          <w:headerReference w:type="default" r:id="rId28"/>
          <w:headerReference w:type="first" r:id="rId29"/>
          <w:footerReference w:type="default" r:id="rId30"/>
          <w:footerReference w:type="first" r:id="rId3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2"/>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16"/>
        <w:spacing w:before="0" w:after="0"/>
        <w:rPr/>
      </w:pPr>
      <w:bookmarkStart w:id="405" w:name="_Ref125368165"/>
      <w:bookmarkStart w:id="406" w:name="_Ref125368184"/>
      <w:bookmarkStart w:id="407" w:name="_Toc230928889"/>
      <w:bookmarkStart w:id="408" w:name="_Ref125369438"/>
      <w:bookmarkStart w:id="409" w:name="_Ref125369021"/>
      <w:bookmarkStart w:id="410" w:name="_Ref125368331"/>
      <w:bookmarkStart w:id="411" w:name="_Ref125368313"/>
      <w:bookmarkStart w:id="412" w:name="_Ref125368302"/>
      <w:bookmarkStart w:id="413" w:name="_Ref125368291"/>
      <w:bookmarkStart w:id="414" w:name="_Ref125368172"/>
      <w:bookmarkStart w:id="415" w:name="_Ref125368150"/>
      <w:bookmarkStart w:id="416" w:name="_Ref125368140"/>
      <w:bookmarkStart w:id="417" w:name="_Ref125366285"/>
      <w:bookmarkStart w:id="418" w:name="_Ref125366280"/>
      <w:bookmarkStart w:id="419" w:name="_Ref125366013"/>
      <w:bookmarkStart w:id="420" w:name="_Ref125361951"/>
      <w:bookmarkStart w:id="421" w:name="_Ref125361648"/>
      <w:bookmarkStart w:id="422" w:name="Прил08_ПорядокОценки"/>
      <w:bookmarkStart w:id="423" w:name="_Ref125368283"/>
      <w:bookmarkEnd w:id="422"/>
      <w:r>
        <w:rPr/>
        <w:t>Приложение № 8 – Порядок и критерии оценки и сопоставления заявок</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3"/>
    </w:p>
    <w:p>
      <w:pPr>
        <w:pStyle w:val="Style17"/>
        <w:spacing w:before="360" w:after="0"/>
        <w:rPr/>
      </w:pPr>
      <w:bookmarkStart w:id="424" w:name="_Toc230928890"/>
      <w:r>
        <w:rPr/>
        <w:t>Порядок и критерии оценки и сопоставления заявок</w:t>
      </w:r>
      <w:bookmarkEnd w:id="424"/>
    </w:p>
    <w:p>
      <w:pPr>
        <w:pStyle w:val="Style18"/>
        <w:spacing w:before="120" w:after="0"/>
        <w:rPr/>
      </w:pPr>
      <w:r>
        <w:rPr/>
        <w:t>Расчет итоговой оценки предпочтительности каждой заявки, успешно прошедшей отборочную стадию (подраздел </w:t>
      </w:r>
      <w:r>
        <w:rPr/>
        <w:fldChar w:fldCharType="begin"/>
      </w:r>
      <w:r>
        <w:rPr/>
        <w:instrText xml:space="preserve"> REF _Ref125362364 \w \h </w:instrText>
      </w:r>
      <w:r>
        <w:rPr/>
        <w:fldChar w:fldCharType="separate"/>
      </w:r>
      <w:r>
        <w:rPr/>
        <w:t>4.9</w:t>
      </w:r>
      <w:r>
        <w:rPr/>
        <w:fldChar w:fldCharType="end"/>
      </w:r>
      <w:r>
        <w:rPr/>
        <w:t>), осуществляется по следующим критериям оценки и в соответствии со следующим порядком оценки предпочтительности и сопоставления заявок:</w:t>
      </w:r>
    </w:p>
    <w:p>
      <w:pPr>
        <w:pStyle w:val="Style18"/>
        <w:spacing w:before="0" w:after="0"/>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18"/>
        <w:spacing w:before="0" w:after="0"/>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pStyle w:val="Style18"/>
        <w:spacing w:before="0" w:after="0"/>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pStyle w:val="Style22"/>
        <w:rPr/>
      </w:pPr>
      <w:r>
        <w:rPr/>
      </w:r>
    </w:p>
    <w:tbl>
      <w:tblPr>
        <w:tblW w:w="15170" w:type="dxa"/>
        <w:jc w:val="left"/>
        <w:tblInd w:w="-147" w:type="dxa"/>
        <w:tblLayout w:type="fixed"/>
        <w:tblCellMar>
          <w:top w:w="0" w:type="dxa"/>
          <w:left w:w="108" w:type="dxa"/>
          <w:bottom w:w="0" w:type="dxa"/>
          <w:right w:w="108" w:type="dxa"/>
        </w:tblCellMar>
        <w:tblLook w:val="04a0" w:noHBand="0" w:noVBand="1" w:firstColumn="1" w:lastRow="0" w:lastColumn="0" w:firstRow="1"/>
      </w:tblPr>
      <w:tblGrid>
        <w:gridCol w:w="993"/>
        <w:gridCol w:w="994"/>
        <w:gridCol w:w="1418"/>
        <w:gridCol w:w="1420"/>
        <w:gridCol w:w="1135"/>
        <w:gridCol w:w="995"/>
        <w:gridCol w:w="2236"/>
        <w:gridCol w:w="5977"/>
      </w:tblGrid>
      <w:tr>
        <w:trPr/>
        <w:tc>
          <w:tcPr>
            <w:tcW w:w="993" w:type="dxa"/>
            <w:vMerge w:val="restart"/>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Номер критерия оценки в структуре</w:t>
            </w:r>
          </w:p>
        </w:tc>
        <w:tc>
          <w:tcPr>
            <w:tcW w:w="994" w:type="dxa"/>
            <w:vMerge w:val="restart"/>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Направление оценки заявок</w:t>
            </w:r>
          </w:p>
        </w:tc>
        <w:tc>
          <w:tcPr>
            <w:tcW w:w="1418" w:type="dxa"/>
            <w:vMerge w:val="restart"/>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Вид критерия оценки</w:t>
            </w:r>
          </w:p>
        </w:tc>
        <w:tc>
          <w:tcPr>
            <w:tcW w:w="2555" w:type="dxa"/>
            <w:gridSpan w:val="2"/>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Наименование критерия оценки</w:t>
            </w:r>
          </w:p>
        </w:tc>
        <w:tc>
          <w:tcPr>
            <w:tcW w:w="995" w:type="dxa"/>
            <w:vMerge w:val="restart"/>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Значимость критерия оценки</w:t>
            </w:r>
          </w:p>
        </w:tc>
        <w:tc>
          <w:tcPr>
            <w:tcW w:w="2236" w:type="dxa"/>
            <w:vMerge w:val="restart"/>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Содержание частного критерия оценки</w:t>
            </w:r>
          </w:p>
        </w:tc>
        <w:tc>
          <w:tcPr>
            <w:tcW w:w="5977" w:type="dxa"/>
            <w:vMerge w:val="restart"/>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Расчет оценки предпочтительности заявки</w:t>
            </w:r>
          </w:p>
        </w:tc>
      </w:tr>
      <w:tr>
        <w:trPr/>
        <w:tc>
          <w:tcPr>
            <w:tcW w:w="993" w:type="dxa"/>
            <w:vMerge w:val="continue"/>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c>
          <w:tcPr>
            <w:tcW w:w="994" w:type="dxa"/>
            <w:vMerge w:val="continue"/>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108" w:right="-108" w:hanging="0"/>
              <w:jc w:val="center"/>
              <w:rPr>
                <w:rFonts w:eastAsia="Calibri"/>
                <w:sz w:val="18"/>
                <w:szCs w:val="18"/>
              </w:rPr>
            </w:pPr>
            <w:r>
              <w:rPr>
                <w:rFonts w:eastAsia="Calibri"/>
                <w:sz w:val="18"/>
                <w:szCs w:val="18"/>
              </w:rPr>
            </w:r>
          </w:p>
        </w:tc>
        <w:tc>
          <w:tcPr>
            <w:tcW w:w="1418" w:type="dxa"/>
            <w:vMerge w:val="continue"/>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c>
          <w:tcPr>
            <w:tcW w:w="1420" w:type="dxa"/>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критерий оценки первого уровня</w:t>
            </w:r>
          </w:p>
        </w:tc>
        <w:tc>
          <w:tcPr>
            <w:tcW w:w="1135" w:type="dxa"/>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критерий оценки второго уровня</w:t>
            </w:r>
          </w:p>
        </w:tc>
        <w:tc>
          <w:tcPr>
            <w:tcW w:w="995" w:type="dxa"/>
            <w:vMerge w:val="continue"/>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c>
          <w:tcPr>
            <w:tcW w:w="2236" w:type="dxa"/>
            <w:vMerge w:val="continue"/>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c>
          <w:tcPr>
            <w:tcW w:w="5977" w:type="dxa"/>
            <w:vMerge w:val="continue"/>
            <w:tcBorders>
              <w:top w:val="single" w:sz="4" w:space="0" w:color="000000"/>
              <w:left w:val="single" w:sz="4" w:space="0" w:color="000000"/>
              <w:bottom w:val="single" w:sz="4" w:space="0" w:color="000000"/>
              <w:right w:val="single" w:sz="4" w:space="0" w:color="000000"/>
            </w:tcBorders>
            <w:shd w:color="FFFFFF" w:fill="D5DCE4" w:val="clear"/>
          </w:tcPr>
          <w:p>
            <w:pPr>
              <w:pStyle w:val="Normal"/>
              <w:keepNext w:val="true"/>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r>
      <w:tr>
        <w:trPr/>
        <w:tc>
          <w:tcPr>
            <w:tcW w:w="99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240" w:before="40" w:after="40"/>
              <w:ind w:left="0" w:hanging="0"/>
              <w:jc w:val="center"/>
              <w:rPr>
                <w:sz w:val="18"/>
                <w:szCs w:val="18"/>
                <w:lang w:eastAsia="en-US"/>
              </w:rPr>
            </w:pPr>
            <w:r>
              <w:rPr>
                <w:sz w:val="18"/>
                <w:szCs w:val="18"/>
                <w:lang w:eastAsia="en-US"/>
              </w:rPr>
              <w:t>Цена</w:t>
            </w:r>
          </w:p>
        </w:tc>
        <w:tc>
          <w:tcPr>
            <w:tcW w:w="141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sz w:val="18"/>
                <w:szCs w:val="18"/>
              </w:rPr>
            </w:pPr>
            <w:r>
              <w:rPr>
                <w:sz w:val="18"/>
                <w:szCs w:val="18"/>
                <w:lang w:eastAsia="en-US"/>
              </w:rPr>
              <w:t>Ценовой (стоимостной) частный критерий оценки первого уровня</w:t>
            </w:r>
          </w:p>
          <w:p>
            <w:pPr>
              <w:pStyle w:val="Normal"/>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c>
          <w:tcPr>
            <w:tcW w:w="1420"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i/>
                <w:i/>
                <w:sz w:val="18"/>
                <w:szCs w:val="18"/>
                <w:shd w:fill="FFFF99" w:val="clear"/>
                <w:lang w:eastAsia="en-US"/>
              </w:rPr>
            </w:pPr>
            <w:r>
              <w:rPr>
                <w:sz w:val="18"/>
                <w:szCs w:val="18"/>
                <w:lang w:eastAsia="en-US"/>
              </w:rPr>
              <w:t>Цена договора</w:t>
            </w:r>
          </w:p>
        </w:tc>
        <w:tc>
          <w:tcPr>
            <w:tcW w:w="113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112" w:hanging="0"/>
              <w:jc w:val="center"/>
              <w:rPr>
                <w:sz w:val="18"/>
                <w:szCs w:val="18"/>
                <w:lang w:eastAsia="en-US"/>
              </w:rPr>
            </w:pPr>
            <w:r>
              <w:rPr>
                <w:sz w:val="18"/>
                <w:szCs w:val="18"/>
                <w:lang w:eastAsia="en-US"/>
              </w:rPr>
              <w:t>Отсутствует</w:t>
            </w:r>
          </w:p>
        </w:tc>
        <w:tc>
          <w:tcPr>
            <w:tcW w:w="99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110" w:hanging="0"/>
              <w:jc w:val="center"/>
              <w:rPr>
                <w:sz w:val="18"/>
                <w:szCs w:val="18"/>
                <w:lang w:eastAsia="en-US"/>
              </w:rPr>
            </w:pPr>
            <w:r>
              <w:rPr>
                <w:sz w:val="18"/>
                <w:szCs w:val="18"/>
                <w:lang w:eastAsia="en-US"/>
              </w:rPr>
              <w:t xml:space="preserve">75% </w:t>
            </w:r>
          </w:p>
          <w:p>
            <w:pPr>
              <w:pStyle w:val="Normal"/>
              <w:widowControl w:val="false"/>
              <w:numPr>
                <w:ilvl w:val="0"/>
                <w:numId w:val="0"/>
              </w:numPr>
              <w:spacing w:lineRule="auto" w:line="240" w:before="40" w:after="40"/>
              <w:ind w:left="-110" w:hanging="0"/>
              <w:jc w:val="center"/>
              <w:rPr>
                <w:rFonts w:eastAsia="Calibri"/>
                <w:sz w:val="18"/>
                <w:szCs w:val="18"/>
              </w:rPr>
            </w:pPr>
            <w:r>
              <w:rPr>
                <w:sz w:val="18"/>
                <w:szCs w:val="18"/>
                <w:lang w:eastAsia="en-US"/>
              </w:rPr>
              <w:t>(B</w:t>
            </w:r>
            <w:r>
              <w:rPr>
                <w:sz w:val="18"/>
                <w:szCs w:val="18"/>
                <w:vertAlign w:val="subscript"/>
                <w:lang w:eastAsia="en-US"/>
              </w:rPr>
              <w:t>1</w:t>
            </w:r>
            <w:r>
              <w:rPr>
                <w:sz w:val="18"/>
                <w:szCs w:val="18"/>
                <w:lang w:eastAsia="en-US"/>
              </w:rPr>
              <w:t xml:space="preserve"> = 0,75)</w:t>
            </w:r>
          </w:p>
        </w:tc>
        <w:tc>
          <w:tcPr>
            <w:tcW w:w="2236"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sz w:val="18"/>
                <w:szCs w:val="18"/>
                <w:highlight w:val="yellow"/>
              </w:rPr>
            </w:pPr>
            <w:r>
              <w:rPr>
                <w:sz w:val="18"/>
                <w:szCs w:val="18"/>
              </w:rPr>
              <w:t>Чем меньше цена договора, тем выше предпочтительность</w:t>
            </w:r>
          </w:p>
        </w:tc>
        <w:tc>
          <w:tcPr>
            <w:tcW w:w="5977"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120" w:after="0"/>
              <w:ind w:left="0" w:hanging="0"/>
              <w:rPr>
                <w:rFonts w:eastAsia="Calibri"/>
                <w:sz w:val="18"/>
                <w:szCs w:val="18"/>
              </w:rPr>
            </w:pPr>
            <w:r>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pPr>
              <w:pStyle w:val="2"/>
              <w:widowControl w:val="false"/>
              <w:numPr>
                <w:ilvl w:val="6"/>
                <w:numId w:val="21"/>
              </w:numPr>
              <w:spacing w:lineRule="auto" w:line="240" w:before="120" w:after="0"/>
              <w:ind w:left="0" w:right="0" w:hanging="0"/>
              <w:jc w:val="center"/>
              <w:rPr>
                <w:sz w:val="18"/>
                <w:szCs w:val="18"/>
                <w:lang w:eastAsia="ru-RU"/>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w:r>
              <w:fldChar w:fldCharType="begin"/>
            </w:r>
            <w:r>
              <w:rPr/>
              <w:instrText xml:space="preserve">QUOTE</w:instrText>
            </w:r>
            <w:r>
              <w:rPr/>
            </w:r>
            <w:r>
              <w:rPr/>
              <w:drawing>
                <wp:inline distT="0" distB="0" distL="0" distR="0">
                  <wp:extent cx="1009650" cy="295275"/>
                  <wp:effectExtent l="0" t="0" r="0" b="0"/>
                  <wp:docPr id="5" name="Рисунок 2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08" descr=""/>
                          <pic:cNvPicPr>
                            <a:picLocks noChangeAspect="1" noChangeArrowheads="1"/>
                          </pic:cNvPicPr>
                        </pic:nvPicPr>
                        <pic:blipFill>
                          <a:blip r:embed="rId32"/>
                          <a:stretch>
                            <a:fillRect/>
                          </a:stretch>
                        </pic:blipFill>
                        <pic:spPr bwMode="auto">
                          <a:xfrm>
                            <a:off x="0" y="0"/>
                            <a:ext cx="1009650" cy="295275"/>
                          </a:xfrm>
                          <a:prstGeom prst="rect">
                            <a:avLst/>
                          </a:prstGeom>
                        </pic:spPr>
                      </pic:pic>
                    </a:graphicData>
                  </a:graphic>
                </wp:inline>
              </w:drawing>
            </w:r>
            <w:r>
              <w:rPr>
                <w:sz w:val="18"/>
                <w:szCs w:val="18"/>
              </w:rPr>
              <w:fldChar w:fldCharType="separate"/>
            </w:r>
            <w:r>
              <w:rPr>
                <w:sz w:val="18"/>
                <w:szCs w:val="18"/>
              </w:rPr>
            </w:r>
            <w:r/>
            <w:r>
              <w:rPr>
                <w:sz w:val="18"/>
                <w:szCs w:val="18"/>
              </w:rPr>
              <w:fldChar w:fldCharType="end"/>
            </w:r>
            <w:r>
              <w:rPr>
                <w:sz w:val="18"/>
                <w:szCs w:val="18"/>
              </w:rPr>
            </w:r>
          </w:p>
          <w:p>
            <w:pPr>
              <w:pStyle w:val="2"/>
              <w:keepNext w:val="true"/>
              <w:widowControl w:val="false"/>
              <w:numPr>
                <w:ilvl w:val="6"/>
                <w:numId w:val="21"/>
              </w:numPr>
              <w:spacing w:lineRule="auto" w:line="240" w:before="0" w:after="0"/>
              <w:ind w:left="0" w:right="0" w:hanging="0"/>
              <w:rPr>
                <w:sz w:val="18"/>
                <w:szCs w:val="18"/>
                <w:lang w:eastAsia="ru-RU"/>
              </w:rPr>
            </w:pPr>
            <w:r>
              <w:rPr>
                <w:sz w:val="18"/>
                <w:szCs w:val="18"/>
                <w:lang w:eastAsia="ru-RU"/>
              </w:rPr>
              <w:t>где:</w:t>
            </w:r>
          </w:p>
          <w:p>
            <w:pPr>
              <w:pStyle w:val="2"/>
              <w:widowControl w:val="false"/>
              <w:numPr>
                <w:ilvl w:val="6"/>
                <w:numId w:val="21"/>
              </w:numPr>
              <w:tabs>
                <w:tab w:val="clear" w:pos="708"/>
                <w:tab w:val="left" w:pos="742" w:leader="none"/>
                <w:tab w:val="left" w:pos="1167" w:leader="none"/>
              </w:tabs>
              <w:spacing w:lineRule="auto" w:line="240" w:before="0" w:after="0"/>
              <w:ind w:left="0" w:right="0" w:hanging="0"/>
              <w:rPr>
                <w:sz w:val="18"/>
                <w:szCs w:val="18"/>
                <w:lang w:eastAsia="ru-RU"/>
              </w:rPr>
            </w:pPr>
            <w:r>
              <w:rPr>
                <w:sz w:val="18"/>
                <w:szCs w:val="18"/>
                <w:lang w:eastAsia="ru-RU"/>
              </w:rPr>
              <w:t>Б</w:t>
            </w:r>
            <w:r>
              <w:rPr>
                <w:sz w:val="18"/>
                <w:szCs w:val="18"/>
                <w:vertAlign w:val="subscript"/>
                <w:lang w:eastAsia="ru-RU"/>
              </w:rPr>
              <w:t>1</w:t>
            </w:r>
            <w:r>
              <w:rPr>
                <w:sz w:val="18"/>
                <w:szCs w:val="18"/>
                <w:lang w:eastAsia="ru-RU"/>
              </w:rPr>
              <w:t>–рассчитанная оценка предпочтительности по данному частному критерию оценки в баллах;</w:t>
            </w:r>
          </w:p>
          <w:p>
            <w:pPr>
              <w:pStyle w:val="2"/>
              <w:widowControl w:val="false"/>
              <w:numPr>
                <w:ilvl w:val="6"/>
                <w:numId w:val="21"/>
              </w:numPr>
              <w:tabs>
                <w:tab w:val="clear" w:pos="708"/>
                <w:tab w:val="left" w:pos="742" w:leader="none"/>
                <w:tab w:val="left" w:pos="1167" w:leader="none"/>
              </w:tabs>
              <w:spacing w:lineRule="auto" w:line="240" w:before="0" w:after="0"/>
              <w:ind w:left="0" w:right="0" w:hanging="0"/>
              <w:rPr>
                <w:sz w:val="18"/>
                <w:szCs w:val="18"/>
                <w:lang w:eastAsia="ru-RU"/>
              </w:rPr>
            </w:pPr>
            <w:r>
              <w:rPr>
                <w:sz w:val="18"/>
                <w:szCs w:val="18"/>
              </w:rPr>
              <w:t>ЦЕНА</w:t>
            </w:r>
            <w:r>
              <w:rPr>
                <w:i/>
                <w:iCs/>
                <w:sz w:val="18"/>
                <w:szCs w:val="18"/>
                <w:vertAlign w:val="subscript"/>
                <w:lang w:val="en-US"/>
              </w:rPr>
              <w:t>i</w:t>
            </w:r>
            <w:r>
              <w:rPr>
                <w:sz w:val="18"/>
                <w:szCs w:val="18"/>
              </w:rPr>
              <w:t>  –</w:t>
            </w:r>
            <w:r>
              <w:rPr>
                <w:rFonts w:eastAsia="Calibri"/>
                <w:sz w:val="18"/>
                <w:szCs w:val="16"/>
              </w:rPr>
              <w:t xml:space="preserve">цена договора (стоимость заявки), указанная в </w:t>
            </w:r>
            <w:r>
              <w:rPr>
                <w:rFonts w:eastAsia="Calibri"/>
                <w:sz w:val="18"/>
                <w:szCs w:val="16"/>
                <w:lang w:val="en-US"/>
              </w:rPr>
              <w:t>i</w:t>
            </w:r>
            <w:r>
              <w:rPr>
                <w:rFonts w:eastAsia="Calibri"/>
                <w:sz w:val="18"/>
                <w:szCs w:val="16"/>
              </w:rPr>
              <w:t>-той заявке (в Коммерческом предложении по установленной в документации о закупке форме допущенного Участника, руб. без учета НДС;</w:t>
            </w:r>
          </w:p>
          <w:p>
            <w:pPr>
              <w:pStyle w:val="Normal"/>
              <w:widowControl w:val="false"/>
              <w:spacing w:lineRule="auto" w:line="252"/>
              <w:ind w:hanging="0"/>
              <w:rPr>
                <w:sz w:val="18"/>
                <w:szCs w:val="18"/>
              </w:rPr>
            </w:pPr>
            <w:r>
              <w:rPr>
                <w:sz w:val="18"/>
                <w:szCs w:val="18"/>
              </w:rPr>
              <w:t>ЦЕНА</w:t>
            </w:r>
            <w:r>
              <w:rPr>
                <w:vertAlign w:val="subscript"/>
                <w:lang w:val="en-US"/>
              </w:rPr>
              <w:t>min</w:t>
            </w:r>
            <w:r>
              <w:rPr>
                <w:sz w:val="18"/>
                <w:szCs w:val="18"/>
              </w:rPr>
              <w:t>– минимальная цена договора (стоимость заявки) среди всех допущенных заявок Участников, руб. без учета НДС;</w:t>
            </w:r>
          </w:p>
          <w:p>
            <w:pPr>
              <w:pStyle w:val="2"/>
              <w:widowControl w:val="false"/>
              <w:numPr>
                <w:ilvl w:val="6"/>
                <w:numId w:val="21"/>
              </w:numPr>
              <w:tabs>
                <w:tab w:val="clear" w:pos="708"/>
                <w:tab w:val="left" w:pos="742" w:leader="none"/>
                <w:tab w:val="left" w:pos="1167" w:leader="none"/>
              </w:tabs>
              <w:spacing w:lineRule="auto" w:line="240" w:before="0" w:after="0"/>
              <w:ind w:left="0" w:right="0" w:hanging="0"/>
              <w:jc w:val="left"/>
              <w:rPr>
                <w:sz w:val="18"/>
                <w:szCs w:val="18"/>
                <w:lang w:eastAsia="ru-RU"/>
              </w:rPr>
            </w:pPr>
            <w:r>
              <w:rPr>
                <w:sz w:val="18"/>
                <w:szCs w:val="18"/>
                <w:lang w:eastAsia="ru-RU"/>
              </w:rPr>
              <w:t>Ш</w:t>
              <w:tab/>
              <w:t>–</w:t>
              <w:tab/>
              <w:t>максимально возможный балл (максимальная возможная оценка предпочтительности) по шкале оценок (Ш = 5).</w:t>
            </w:r>
          </w:p>
          <w:p>
            <w:pPr>
              <w:pStyle w:val="3"/>
              <w:widowControl w:val="false"/>
              <w:numPr>
                <w:ilvl w:val="0"/>
              </w:numPr>
              <w:spacing w:lineRule="auto" w:line="240"/>
              <w:ind w:left="0" w:right="0" w:hanging="0"/>
              <w:jc w:val="left"/>
              <w:rPr>
                <w:sz w:val="18"/>
                <w:szCs w:val="18"/>
                <w:lang w:eastAsia="ru-RU"/>
              </w:rPr>
            </w:pPr>
            <w:r>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color w:val="000000"/>
                <w:sz w:val="18"/>
              </w:rPr>
              <w:t>.</w:t>
            </w:r>
          </w:p>
          <w:p>
            <w:pPr>
              <w:pStyle w:val="Normal"/>
              <w:widowControl w:val="false"/>
              <w:numPr>
                <w:ilvl w:val="0"/>
                <w:numId w:val="0"/>
              </w:numPr>
              <w:spacing w:lineRule="auto" w:line="240"/>
              <w:ind w:left="0" w:hanging="0"/>
              <w:rPr>
                <w:rFonts w:eastAsia="Calibri"/>
                <w:sz w:val="18"/>
                <w:szCs w:val="18"/>
              </w:rPr>
            </w:pPr>
            <w:r>
              <w:rPr>
                <w:sz w:val="18"/>
                <w:szCs w:val="18"/>
              </w:rPr>
              <w:t>Шкала оценок от 0 до 5 баллов.</w:t>
            </w:r>
          </w:p>
        </w:tc>
      </w:tr>
      <w:tr>
        <w:trPr/>
        <w:tc>
          <w:tcPr>
            <w:tcW w:w="99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rPr>
            </w:pPr>
            <w:r>
              <w:rPr>
                <w:rFonts w:eastAsia="Calibri"/>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240" w:before="40" w:after="40"/>
              <w:ind w:left="0" w:hanging="0"/>
              <w:jc w:val="center"/>
              <w:rPr/>
            </w:pPr>
            <w:r>
              <w:rPr>
                <w:sz w:val="18"/>
                <w:szCs w:val="18"/>
              </w:rPr>
              <w:t>Тех</w:t>
            </w:r>
          </w:p>
        </w:tc>
        <w:tc>
          <w:tcPr>
            <w:tcW w:w="1418"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rPr>
            </w:pPr>
            <w:r>
              <w:rPr>
                <w:sz w:val="18"/>
                <w:szCs w:val="18"/>
              </w:rPr>
              <w:t>Неценовой критерий оценки первого уровня</w:t>
            </w:r>
          </w:p>
        </w:tc>
        <w:tc>
          <w:tcPr>
            <w:tcW w:w="1420"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rPr>
            </w:pPr>
            <w:r>
              <w:rPr>
                <w:rFonts w:eastAsia="Calibri" w:cs="Times New Roman CYR" w:ascii="Times New Roman CYR" w:hAnsi="Times New Roman CYR" w:eastAsiaTheme="minorHAnsi"/>
                <w:color w:val="000000"/>
                <w:sz w:val="18"/>
                <w:szCs w:val="18"/>
                <w:lang w:eastAsia="en-US"/>
              </w:rPr>
              <w:t>Квалификация (отношение Участника закупки к изготовителю предлагаемой продукции)</w:t>
            </w:r>
          </w:p>
        </w:tc>
        <w:tc>
          <w:tcPr>
            <w:tcW w:w="113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112" w:hanging="0"/>
              <w:jc w:val="center"/>
              <w:rPr>
                <w:rFonts w:eastAsia="Calibri"/>
              </w:rPr>
            </w:pPr>
            <w:r>
              <w:rPr>
                <w:rFonts w:eastAsia="Calibri"/>
                <w:sz w:val="18"/>
                <w:szCs w:val="18"/>
              </w:rPr>
              <w:t>Отсутствует</w:t>
            </w:r>
          </w:p>
        </w:tc>
        <w:tc>
          <w:tcPr>
            <w:tcW w:w="99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110" w:hanging="0"/>
              <w:jc w:val="center"/>
              <w:rPr>
                <w:rFonts w:eastAsia="Calibri"/>
              </w:rPr>
            </w:pPr>
            <w:r>
              <w:rPr>
                <w:rFonts w:eastAsia="Calibri"/>
                <w:sz w:val="18"/>
                <w:szCs w:val="18"/>
              </w:rPr>
              <w:t>20%</w:t>
              <w:br/>
              <w:t>(В</w:t>
            </w:r>
            <w:r>
              <w:rPr>
                <w:rFonts w:eastAsia="Calibri"/>
                <w:sz w:val="18"/>
                <w:szCs w:val="18"/>
                <w:vertAlign w:val="subscript"/>
              </w:rPr>
              <w:t>2</w:t>
            </w:r>
            <w:r>
              <w:rPr>
                <w:rFonts w:eastAsia="Calibri"/>
                <w:sz w:val="18"/>
                <w:szCs w:val="18"/>
              </w:rPr>
              <w:t xml:space="preserve"> = 0,20)</w:t>
            </w:r>
          </w:p>
        </w:tc>
        <w:tc>
          <w:tcPr>
            <w:tcW w:w="2236"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112" w:hanging="0"/>
              <w:jc w:val="center"/>
              <w:rPr>
                <w:lang w:eastAsia="en-US"/>
              </w:rPr>
            </w:pPr>
            <w:r>
              <w:rPr>
                <w:sz w:val="18"/>
                <w:szCs w:val="18"/>
                <w:lang w:eastAsia="en-US"/>
              </w:rPr>
              <w:t>Отношение Участника закупки к изготовителю предлагаемой продукции</w:t>
            </w:r>
          </w:p>
        </w:tc>
        <w:tc>
          <w:tcPr>
            <w:tcW w:w="5977"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spacing w:lineRule="auto" w:line="240" w:before="96" w:after="96"/>
              <w:ind w:hanging="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lineRule="auto" w:line="240" w:before="40" w:after="40"/>
              <w:ind w:hanging="0"/>
              <w:rPr>
                <w:sz w:val="18"/>
                <w:szCs w:val="18"/>
              </w:rPr>
            </w:pPr>
            <w:r>
              <w:rPr>
                <w:sz w:val="18"/>
                <w:szCs w:val="18"/>
              </w:rPr>
              <w:t xml:space="preserve">Порядок осуществления оценки (значение оцениваемого параметра) - в зависимости от предоставленных в </w:t>
            </w:r>
            <w:r>
              <w:rPr>
                <w:i/>
                <w:sz w:val="18"/>
                <w:szCs w:val="18"/>
              </w:rPr>
              <w:t>i</w:t>
            </w:r>
            <w:r>
              <w:rPr>
                <w:sz w:val="18"/>
                <w:szCs w:val="18"/>
              </w:rPr>
              <w:t>-ой заявке копий документов, подтверждающих статус Участника</w:t>
            </w:r>
            <w:r>
              <w:rPr>
                <w:rStyle w:val="FootnoteReference"/>
                <w:sz w:val="18"/>
                <w:szCs w:val="18"/>
              </w:rPr>
              <w:footnoteReference w:id="16"/>
            </w:r>
            <w:r>
              <w:rPr>
                <w:sz w:val="18"/>
                <w:szCs w:val="18"/>
              </w:rPr>
              <w:t>*:</w:t>
            </w:r>
          </w:p>
          <w:p>
            <w:pPr>
              <w:pStyle w:val="Normal"/>
              <w:widowControl w:val="false"/>
              <w:spacing w:lineRule="auto" w:line="240" w:before="40" w:after="40"/>
              <w:ind w:hanging="0"/>
              <w:rPr>
                <w:sz w:val="18"/>
                <w:szCs w:val="18"/>
              </w:rPr>
            </w:pPr>
            <w:r>
              <w:rPr>
                <w:sz w:val="18"/>
                <w:szCs w:val="18"/>
              </w:rPr>
              <w:t>При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Участником в данном статусе продукции (товара), при этом:</w:t>
            </w:r>
          </w:p>
          <w:p>
            <w:pPr>
              <w:pStyle w:val="Normal"/>
              <w:widowControl w:val="false"/>
              <w:spacing w:lineRule="auto" w:line="240" w:before="40" w:after="40"/>
              <w:ind w:hanging="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r</m:t>
                    </m:r>
                  </m:sub>
                </m:sSub>
                <m:r>
                  <w:rPr>
                    <w:rFonts w:ascii="Cambria Math" w:hAnsi="Cambria Math"/>
                  </w:rPr>
                  <m:t xml:space="preserve">=</m:t>
                </m:r>
                <m:nary>
                  <m:naryPr>
                    <m:chr m:val="∑"/>
                  </m:naryPr>
                  <m:sub>
                    <m:r>
                      <w:rPr>
                        <w:rFonts w:ascii="Cambria Math" w:hAnsi="Cambria Math"/>
                      </w:rPr>
                      <m:t xml:space="preserve">k</m:t>
                    </m:r>
                    <m:r>
                      <w:rPr>
                        <w:rFonts w:ascii="Cambria Math" w:hAnsi="Cambria Math"/>
                      </w:rPr>
                      <m:t xml:space="preserve">=</m:t>
                    </m:r>
                    <m:r>
                      <w:rPr>
                        <w:rFonts w:ascii="Cambria Math" w:hAnsi="Cambria Math"/>
                      </w:rPr>
                      <m:t xml:space="preserve">1</m:t>
                    </m:r>
                  </m:sub>
                  <m:sup>
                    <m:r>
                      <w:rPr>
                        <w:rFonts w:ascii="Cambria Math" w:hAnsi="Cambria Math"/>
                      </w:rPr>
                      <m:t xml:space="preserve">n</m:t>
                    </m:r>
                  </m:sup>
                  <m:e>
                    <m:sSub>
                      <m:e>
                        <m:r>
                          <w:rPr>
                            <w:rFonts w:ascii="Cambria Math" w:hAnsi="Cambria Math"/>
                          </w:rPr>
                          <m:t xml:space="preserve">k</m:t>
                        </m:r>
                      </m:e>
                      <m:sub>
                        <m:r>
                          <w:rPr>
                            <w:rFonts w:ascii="Cambria Math" w:hAnsi="Cambria Math"/>
                          </w:rPr>
                          <m:t xml:space="preserve">i</m:t>
                        </m:r>
                      </m:sub>
                    </m:sSub>
                    <m:r>
                      <w:rPr>
                        <w:rFonts w:ascii="Cambria Math" w:hAnsi="Cambria Math"/>
                      </w:rPr>
                      <m:t xml:space="preserve">∗</m:t>
                    </m:r>
                    <m:sSub>
                      <m:e>
                        <m:r>
                          <w:rPr>
                            <w:rFonts w:ascii="Cambria Math" w:hAnsi="Cambria Math"/>
                          </w:rPr>
                          <m:t xml:space="preserve">Б</m:t>
                        </m:r>
                      </m:e>
                      <m:sub>
                        <m:r>
                          <w:rPr>
                            <w:rFonts w:ascii="Cambria Math" w:hAnsi="Cambria Math"/>
                          </w:rPr>
                          <m:t xml:space="preserve">i</m:t>
                        </m:r>
                      </m:sub>
                    </m:sSub>
                  </m:e>
                </m:nary>
              </m:oMath>
            </m:oMathPara>
          </w:p>
          <w:tbl>
            <w:tblPr>
              <w:tblW w:w="586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73"/>
              <w:gridCol w:w="4852"/>
              <w:gridCol w:w="3"/>
              <w:gridCol w:w="139"/>
            </w:tblGrid>
            <w:tr>
              <w:trPr>
                <w:trHeight w:val="309" w:hRule="atLeast"/>
                <w:cantSplit w:val="true"/>
              </w:trPr>
              <w:tc>
                <w:tcPr>
                  <w:tcW w:w="873" w:type="dxa"/>
                  <w:tcBorders>
                    <w:top w:val="single" w:sz="4" w:space="0" w:color="000000"/>
                    <w:bottom w:val="single" w:sz="4" w:space="0" w:color="000000"/>
                    <w:right w:val="single" w:sz="4" w:space="0" w:color="000000"/>
                  </w:tcBorders>
                  <w:shd w:color="FFFFFF" w:fill="FFFFFF" w:themeFill="background1" w:val="clear"/>
                </w:tcPr>
                <w:p>
                  <w:pPr>
                    <w:pStyle w:val="Normal"/>
                    <w:widowControl w:val="false"/>
                    <w:spacing w:lineRule="auto" w:line="240" w:before="40" w:after="40"/>
                    <w:ind w:hanging="0"/>
                    <w:jc w:val="center"/>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0</w:t>
                  </w:r>
                </w:p>
              </w:tc>
              <w:tc>
                <w:tcPr>
                  <w:tcW w:w="4855" w:type="dxa"/>
                  <w:gridSpan w:val="2"/>
                  <w:tcBorders>
                    <w:top w:val="single" w:sz="4" w:space="0" w:color="000000"/>
                    <w:left w:val="single" w:sz="4" w:space="0" w:color="000000"/>
                    <w:bottom w:val="single" w:sz="4" w:space="0" w:color="000000"/>
                  </w:tcBorders>
                  <w:shd w:color="FFFFFF" w:fill="FFFFFF" w:themeFill="background1" w:val="clear"/>
                </w:tcPr>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b/>
                      <w:sz w:val="18"/>
                      <w:szCs w:val="18"/>
                    </w:rPr>
                    <w:t>1. Участник не является изготовителем (производителем) и/или аффилированным изготовителю (производителю) по одному из пунктов, указанных в Таблице - Признаки аффилированности и документы, подтверждающие данные признаки (форма №10 Документации о закупке), и/или представителем изготовителя (производителя)</w:t>
                  </w:r>
                  <w:r>
                    <w:rPr>
                      <w:rFonts w:eastAsia="Calibri"/>
                      <w:sz w:val="18"/>
                      <w:szCs w:val="18"/>
                    </w:rPr>
                    <w:t>.</w:t>
                  </w:r>
                </w:p>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sz w:val="18"/>
                      <w:szCs w:val="18"/>
                    </w:rPr>
                  </w:r>
                </w:p>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2. В случае непредставления документов, подтверждающих статус Участника.</w:t>
                  </w:r>
                </w:p>
              </w:tc>
              <w:tc>
                <w:tcPr>
                  <w:tcW w:w="139" w:type="dxa"/>
                  <w:tcBorders/>
                </w:tcPr>
                <w:p>
                  <w:pPr>
                    <w:pStyle w:val="Normal"/>
                    <w:widowControl w:val="false"/>
                    <w:spacing w:before="120" w:after="0"/>
                    <w:rPr/>
                  </w:pPr>
                  <w:r>
                    <w:rPr/>
                  </w:r>
                </w:p>
              </w:tc>
            </w:tr>
            <w:tr>
              <w:trPr>
                <w:trHeight w:val="309" w:hRule="atLeast"/>
                <w:cantSplit w:val="true"/>
              </w:trPr>
              <w:tc>
                <w:tcPr>
                  <w:tcW w:w="873" w:type="dxa"/>
                  <w:tcBorders>
                    <w:top w:val="single" w:sz="4" w:space="0" w:color="000000"/>
                    <w:bottom w:val="single" w:sz="4" w:space="0" w:color="000000"/>
                    <w:right w:val="single" w:sz="4" w:space="0" w:color="000000"/>
                  </w:tcBorders>
                  <w:shd w:color="FFFFFF" w:fill="FFFFFF" w:themeFill="background1" w:val="clear"/>
                </w:tcPr>
                <w:p>
                  <w:pPr>
                    <w:pStyle w:val="Normal"/>
                    <w:widowControl w:val="false"/>
                    <w:spacing w:lineRule="auto" w:line="240" w:before="40" w:after="40"/>
                    <w:ind w:hanging="0"/>
                    <w:jc w:val="center"/>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1</w:t>
                  </w:r>
                </w:p>
              </w:tc>
              <w:tc>
                <w:tcPr>
                  <w:tcW w:w="4852" w:type="dxa"/>
                  <w:tcBorders>
                    <w:top w:val="single" w:sz="4" w:space="0" w:color="000000"/>
                    <w:left w:val="single" w:sz="4" w:space="0" w:color="000000"/>
                    <w:bottom w:val="single" w:sz="4" w:space="0" w:color="000000"/>
                  </w:tcBorders>
                  <w:shd w:color="FFFFFF" w:fill="FFFFFF" w:themeFill="background1" w:val="clear"/>
                </w:tcPr>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Участником получено согласие от производителя на поставку продукции, в случае признания Участника Победителем</w:t>
                  </w:r>
                </w:p>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sz w:val="18"/>
                      <w:szCs w:val="18"/>
                    </w:rPr>
                    <w:t>(статус Участника подтверждается официальным письмом, подписанным уполномоченным представителем изготовителя (производителя) предлагаемой к поставке продукции,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tc>
              <w:tc>
                <w:tcPr>
                  <w:tcW w:w="3" w:type="dxa"/>
                  <w:tcBorders/>
                </w:tcPr>
                <w:p>
                  <w:pPr>
                    <w:pStyle w:val="Normal"/>
                    <w:widowControl w:val="false"/>
                    <w:spacing w:before="120" w:after="0"/>
                    <w:rPr/>
                  </w:pPr>
                  <w:r>
                    <w:rPr/>
                  </w:r>
                </w:p>
              </w:tc>
              <w:tc>
                <w:tcPr>
                  <w:tcW w:w="139" w:type="dxa"/>
                  <w:tcBorders/>
                </w:tcPr>
                <w:p>
                  <w:pPr>
                    <w:pStyle w:val="Normal"/>
                    <w:widowControl w:val="false"/>
                    <w:spacing w:before="120" w:after="0"/>
                    <w:rPr/>
                  </w:pPr>
                  <w:r>
                    <w:rPr/>
                  </w:r>
                </w:p>
              </w:tc>
            </w:tr>
            <w:tr>
              <w:trPr>
                <w:trHeight w:val="309" w:hRule="atLeast"/>
                <w:cantSplit w:val="true"/>
              </w:trPr>
              <w:tc>
                <w:tcPr>
                  <w:tcW w:w="873" w:type="dxa"/>
                  <w:tcBorders>
                    <w:top w:val="single" w:sz="4" w:space="0" w:color="000000"/>
                    <w:bottom w:val="single" w:sz="4" w:space="0" w:color="000000"/>
                    <w:right w:val="single" w:sz="4" w:space="0" w:color="000000"/>
                  </w:tcBorders>
                  <w:shd w:color="FFFFFF" w:fill="FFFFFF" w:themeFill="background1" w:val="clear"/>
                </w:tcPr>
                <w:p>
                  <w:pPr>
                    <w:pStyle w:val="Normal"/>
                    <w:widowControl w:val="false"/>
                    <w:spacing w:lineRule="auto" w:line="240" w:before="40" w:after="40"/>
                    <w:ind w:hanging="0"/>
                    <w:jc w:val="center"/>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2</w:t>
                  </w:r>
                </w:p>
              </w:tc>
              <w:tc>
                <w:tcPr>
                  <w:tcW w:w="4852" w:type="dxa"/>
                  <w:tcBorders>
                    <w:top w:val="single" w:sz="4" w:space="0" w:color="000000"/>
                    <w:left w:val="single" w:sz="4" w:space="0" w:color="000000"/>
                    <w:bottom w:val="single" w:sz="4" w:space="0" w:color="000000"/>
                  </w:tcBorders>
                  <w:shd w:color="FFFFFF" w:fill="FFFFFF" w:themeFill="background1" w:val="clear"/>
                </w:tcPr>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Участник является официальным представителем изготовителя (производителя)</w:t>
                  </w:r>
                </w:p>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sz w:val="18"/>
                      <w:szCs w:val="18"/>
                    </w:rPr>
                    <w:t>(статус подтверждается действующими на момент подачи заявки документами изготовителя (производителя), в которых указан статус Участника в качестве представителя/дилера, сроком действия не менее одного года или копией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tc>
              <w:tc>
                <w:tcPr>
                  <w:tcW w:w="3" w:type="dxa"/>
                  <w:tcBorders/>
                </w:tcPr>
                <w:p>
                  <w:pPr>
                    <w:pStyle w:val="Normal"/>
                    <w:widowControl w:val="false"/>
                    <w:spacing w:before="120" w:after="0"/>
                    <w:rPr/>
                  </w:pPr>
                  <w:r>
                    <w:rPr/>
                  </w:r>
                </w:p>
              </w:tc>
              <w:tc>
                <w:tcPr>
                  <w:tcW w:w="139" w:type="dxa"/>
                  <w:tcBorders/>
                </w:tcPr>
                <w:p>
                  <w:pPr>
                    <w:pStyle w:val="Normal"/>
                    <w:widowControl w:val="false"/>
                    <w:spacing w:before="120" w:after="0"/>
                    <w:rPr/>
                  </w:pPr>
                  <w:r>
                    <w:rPr/>
                  </w:r>
                </w:p>
              </w:tc>
            </w:tr>
            <w:tr>
              <w:trPr>
                <w:trHeight w:val="309" w:hRule="atLeast"/>
                <w:cantSplit w:val="true"/>
              </w:trPr>
              <w:tc>
                <w:tcPr>
                  <w:tcW w:w="873" w:type="dxa"/>
                  <w:tcBorders>
                    <w:top w:val="single" w:sz="4" w:space="0" w:color="000000"/>
                    <w:bottom w:val="single" w:sz="4" w:space="0" w:color="000000"/>
                    <w:right w:val="single" w:sz="4" w:space="0" w:color="000000"/>
                  </w:tcBorders>
                  <w:shd w:color="FFFFFF" w:fill="FFFFFF" w:themeFill="background1" w:val="clear"/>
                </w:tcPr>
                <w:p>
                  <w:pPr>
                    <w:pStyle w:val="Normal"/>
                    <w:widowControl w:val="false"/>
                    <w:spacing w:lineRule="auto" w:line="240" w:before="40" w:after="40"/>
                    <w:ind w:hanging="0"/>
                    <w:jc w:val="center"/>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3</w:t>
                  </w:r>
                </w:p>
              </w:tc>
              <w:tc>
                <w:tcPr>
                  <w:tcW w:w="4852" w:type="dxa"/>
                  <w:tcBorders>
                    <w:top w:val="single" w:sz="4" w:space="0" w:color="000000"/>
                    <w:left w:val="single" w:sz="4" w:space="0" w:color="000000"/>
                    <w:bottom w:val="single" w:sz="4" w:space="0" w:color="000000"/>
                  </w:tcBorders>
                  <w:shd w:color="FFFFFF" w:fill="FFFFFF" w:themeFill="background1" w:val="clear"/>
                </w:tcPr>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 xml:space="preserve">Участник является аффилированным изготовителю (производителю) по одному из следующих пунктов 7, 9, указанных в Таблице - Признаки аффилированности и документы, подтверждающие данные признаки (форма №10 Документации о закупке). </w:t>
                  </w:r>
                  <w:r>
                    <w:rPr>
                      <w:rFonts w:eastAsia="Calibri"/>
                      <w:sz w:val="18"/>
                      <w:szCs w:val="18"/>
                    </w:rPr>
                    <w:t>(статус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c>
                <w:tcPr>
                  <w:tcW w:w="3" w:type="dxa"/>
                  <w:tcBorders/>
                </w:tcPr>
                <w:p>
                  <w:pPr>
                    <w:pStyle w:val="Normal"/>
                    <w:widowControl w:val="false"/>
                    <w:spacing w:before="120" w:after="0"/>
                    <w:rPr/>
                  </w:pPr>
                  <w:r>
                    <w:rPr/>
                  </w:r>
                </w:p>
              </w:tc>
              <w:tc>
                <w:tcPr>
                  <w:tcW w:w="139" w:type="dxa"/>
                  <w:tcBorders/>
                </w:tcPr>
                <w:p>
                  <w:pPr>
                    <w:pStyle w:val="Normal"/>
                    <w:widowControl w:val="false"/>
                    <w:spacing w:before="120" w:after="0"/>
                    <w:rPr/>
                  </w:pPr>
                  <w:r>
                    <w:rPr/>
                  </w:r>
                </w:p>
              </w:tc>
            </w:tr>
            <w:tr>
              <w:trPr>
                <w:trHeight w:val="309" w:hRule="atLeast"/>
                <w:cantSplit w:val="true"/>
              </w:trPr>
              <w:tc>
                <w:tcPr>
                  <w:tcW w:w="873" w:type="dxa"/>
                  <w:tcBorders>
                    <w:top w:val="single" w:sz="4" w:space="0" w:color="000000"/>
                    <w:bottom w:val="single" w:sz="4" w:space="0" w:color="000000"/>
                    <w:right w:val="single" w:sz="4" w:space="0" w:color="000000"/>
                  </w:tcBorders>
                  <w:shd w:color="FFFFFF" w:fill="FFFFFF" w:themeFill="background1" w:val="clear"/>
                </w:tcPr>
                <w:p>
                  <w:pPr>
                    <w:pStyle w:val="Normal"/>
                    <w:widowControl w:val="false"/>
                    <w:spacing w:lineRule="auto" w:line="240" w:before="40" w:after="40"/>
                    <w:ind w:hanging="0"/>
                    <w:jc w:val="center"/>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4</w:t>
                  </w:r>
                </w:p>
              </w:tc>
              <w:tc>
                <w:tcPr>
                  <w:tcW w:w="4852" w:type="dxa"/>
                  <w:tcBorders>
                    <w:top w:val="single" w:sz="4" w:space="0" w:color="000000"/>
                    <w:left w:val="single" w:sz="4" w:space="0" w:color="000000"/>
                    <w:bottom w:val="single" w:sz="4" w:space="0" w:color="000000"/>
                  </w:tcBorders>
                  <w:shd w:color="FFFFFF" w:fill="FFFFFF" w:themeFill="background1" w:val="clear"/>
                </w:tcPr>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Участник является аффилированным изготовителю (производителю) по одному из следующих пунктов 4, 5, 8, 10, указанных в Таблице - Признаки аффилированности и документы, подтверждающие данные признаки (форма №10 Документации о закупке).</w:t>
                  </w:r>
                </w:p>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sz w:val="18"/>
                      <w:szCs w:val="18"/>
                    </w:rPr>
                    <w:t>(статус аффилированности</w:t>
                  </w:r>
                  <w:bookmarkStart w:id="425" w:name="undefined"/>
                  <w:bookmarkEnd w:id="425"/>
                  <w:r>
                    <w:rPr>
                      <w:rFonts w:eastAsia="Calibri"/>
                      <w:sz w:val="18"/>
                      <w:szCs w:val="18"/>
                    </w:rPr>
                    <w:t xml:space="preserve">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c>
                <w:tcPr>
                  <w:tcW w:w="3" w:type="dxa"/>
                  <w:tcBorders/>
                </w:tcPr>
                <w:p>
                  <w:pPr>
                    <w:pStyle w:val="Normal"/>
                    <w:widowControl w:val="false"/>
                    <w:spacing w:before="120" w:after="0"/>
                    <w:rPr/>
                  </w:pPr>
                  <w:r>
                    <w:rPr/>
                  </w:r>
                </w:p>
              </w:tc>
              <w:tc>
                <w:tcPr>
                  <w:tcW w:w="139" w:type="dxa"/>
                  <w:tcBorders/>
                </w:tcPr>
                <w:p>
                  <w:pPr>
                    <w:pStyle w:val="Normal"/>
                    <w:widowControl w:val="false"/>
                    <w:spacing w:before="120" w:after="0"/>
                    <w:rPr/>
                  </w:pPr>
                  <w:r>
                    <w:rPr/>
                  </w:r>
                </w:p>
              </w:tc>
            </w:tr>
            <w:tr>
              <w:trPr>
                <w:trHeight w:val="309" w:hRule="atLeast"/>
                <w:cantSplit w:val="true"/>
              </w:trPr>
              <w:tc>
                <w:tcPr>
                  <w:tcW w:w="873" w:type="dxa"/>
                  <w:tcBorders>
                    <w:top w:val="single" w:sz="4" w:space="0" w:color="000000"/>
                    <w:right w:val="single" w:sz="4" w:space="0" w:color="000000"/>
                  </w:tcBorders>
                  <w:shd w:color="FFFFFF" w:fill="FFFFFF" w:themeFill="background1" w:val="clear"/>
                </w:tcPr>
                <w:p>
                  <w:pPr>
                    <w:pStyle w:val="Normal"/>
                    <w:widowControl w:val="false"/>
                    <w:spacing w:lineRule="auto" w:line="240" w:before="40" w:after="40"/>
                    <w:ind w:hanging="0"/>
                    <w:jc w:val="center"/>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5</w:t>
                  </w:r>
                </w:p>
              </w:tc>
              <w:tc>
                <w:tcPr>
                  <w:tcW w:w="4994" w:type="dxa"/>
                  <w:gridSpan w:val="3"/>
                  <w:tcBorders>
                    <w:top w:val="single" w:sz="4" w:space="0" w:color="000000"/>
                    <w:left w:val="single" w:sz="4" w:space="0" w:color="000000"/>
                  </w:tcBorders>
                  <w:shd w:color="FFFFFF" w:fill="FFFFFF" w:themeFill="background1" w:val="clear"/>
                </w:tcPr>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1. Участник является изготовителем (производителем)</w:t>
                  </w:r>
                </w:p>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sz w:val="18"/>
                      <w:szCs w:val="18"/>
                    </w:rPr>
                    <w:t>(подтверждается документами на предлагаемую продукцию (товар), в которых указан изготовитель (производитель))</w:t>
                  </w:r>
                  <w:r>
                    <w:rPr>
                      <w:rFonts w:eastAsia="Calibri"/>
                      <w:b/>
                      <w:sz w:val="18"/>
                      <w:szCs w:val="18"/>
                    </w:rPr>
                    <w:t xml:space="preserve"> **</w:t>
                  </w:r>
                  <w:r>
                    <w:rPr>
                      <w:rFonts w:eastAsia="Calibri"/>
                      <w:sz w:val="18"/>
                      <w:szCs w:val="18"/>
                    </w:rPr>
                    <w:t>.</w:t>
                  </w:r>
                  <w:r>
                    <w:rPr>
                      <w:sz w:val="18"/>
                      <w:szCs w:val="18"/>
                    </w:rPr>
                    <w:t xml:space="preserve"> </w:t>
                  </w:r>
                  <w:r>
                    <w:rPr>
                      <w:rFonts w:eastAsia="Calibri"/>
                      <w:sz w:val="18"/>
                      <w:szCs w:val="18"/>
                    </w:rPr>
                    <w:t>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p>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sz w:val="18"/>
                      <w:szCs w:val="18"/>
                    </w:rPr>
                  </w:r>
                </w:p>
                <w:p>
                  <w:pPr>
                    <w:pStyle w:val="Normal"/>
                    <w:widowControl w:val="false"/>
                    <w:numPr>
                      <w:ilvl w:val="0"/>
                      <w:numId w:val="0"/>
                    </w:numPr>
                    <w:spacing w:lineRule="auto" w:line="240" w:before="40" w:after="40"/>
                    <w:ind w:left="0" w:hanging="0"/>
                    <w:outlineLvl w:val="4"/>
                    <w:rPr>
                      <w:rFonts w:eastAsia="Calibri"/>
                      <w:b/>
                      <w:sz w:val="18"/>
                      <w:szCs w:val="18"/>
                    </w:rPr>
                  </w:pPr>
                  <w:r>
                    <w:rPr>
                      <w:rFonts w:eastAsia="Calibri"/>
                      <w:b/>
                      <w:sz w:val="18"/>
                      <w:szCs w:val="18"/>
                    </w:rPr>
                    <w:t>2. Участник является аффилированным изготовителю (производителю) по одному из следующих пунктов 1, 2, 3, 6, 11, указанных в Таблице - Признаки аффилированности и документы, подтверждающие данные признаки (форма №10 Документации о закупке).</w:t>
                  </w:r>
                </w:p>
                <w:p>
                  <w:pPr>
                    <w:pStyle w:val="Normal"/>
                    <w:widowControl w:val="false"/>
                    <w:numPr>
                      <w:ilvl w:val="0"/>
                      <w:numId w:val="0"/>
                    </w:numPr>
                    <w:spacing w:lineRule="auto" w:line="240" w:before="40" w:after="40"/>
                    <w:ind w:left="0" w:hanging="0"/>
                    <w:outlineLvl w:val="4"/>
                    <w:rPr>
                      <w:rFonts w:eastAsia="Calibri"/>
                      <w:sz w:val="18"/>
                      <w:szCs w:val="18"/>
                    </w:rPr>
                  </w:pPr>
                  <w:r>
                    <w:rPr>
                      <w:rFonts w:eastAsia="Calibri"/>
                      <w:sz w:val="18"/>
                      <w:szCs w:val="18"/>
                    </w:rPr>
                    <w:t>(статус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bl>
          <w:p>
            <w:pPr>
              <w:pStyle w:val="Normal"/>
              <w:keepNext w:val="true"/>
              <w:widowControl w:val="false"/>
              <w:spacing w:lineRule="auto" w:line="240" w:before="96" w:after="0"/>
              <w:ind w:hanging="0"/>
              <w:rPr>
                <w:rFonts w:eastAsia="Calibri"/>
                <w:sz w:val="18"/>
                <w:szCs w:val="18"/>
              </w:rPr>
            </w:pPr>
            <w:r>
              <w:rPr>
                <w:rFonts w:eastAsia="Calibri"/>
                <w:sz w:val="18"/>
                <w:szCs w:val="18"/>
              </w:rPr>
              <w:t>, где:</w:t>
            </w:r>
          </w:p>
          <w:p>
            <w:pPr>
              <w:pStyle w:val="Normal"/>
              <w:widowControl w:val="false"/>
              <w:tabs>
                <w:tab w:val="clear" w:pos="708"/>
                <w:tab w:val="left" w:pos="742" w:leader="none"/>
                <w:tab w:val="left" w:pos="1167" w:leader="none"/>
              </w:tabs>
              <w:spacing w:lineRule="auto" w:line="240"/>
              <w:ind w:hanging="0"/>
              <w:rPr>
                <w:rFonts w:eastAsia="Calibri"/>
                <w:sz w:val="18"/>
                <w:szCs w:val="18"/>
              </w:rPr>
            </w:pPr>
            <w:r>
              <w:rPr>
                <w:rFonts w:eastAsia="Calibri"/>
                <w:sz w:val="18"/>
                <w:szCs w:val="18"/>
              </w:rPr>
              <w:t>Б</w:t>
            </w:r>
            <w:r>
              <w:rPr>
                <w:rFonts w:eastAsia="Calibri"/>
                <w:i/>
                <w:sz w:val="18"/>
                <w:szCs w:val="18"/>
                <w:vertAlign w:val="subscript"/>
                <w:lang w:val="en-US"/>
              </w:rPr>
              <w:t>r</w:t>
            </w:r>
            <w:r>
              <w:rPr>
                <w:rFonts w:eastAsia="Calibri"/>
                <w:sz w:val="18"/>
                <w:szCs w:val="18"/>
              </w:rPr>
              <w:t xml:space="preserve"> – рассчитанная оценка по данному частному критерию оценки в баллах.</w:t>
            </w:r>
          </w:p>
          <w:p>
            <w:pPr>
              <w:pStyle w:val="Normal"/>
              <w:widowControl w:val="false"/>
              <w:tabs>
                <w:tab w:val="clear" w:pos="708"/>
                <w:tab w:val="left" w:pos="742" w:leader="none"/>
                <w:tab w:val="left" w:pos="1167" w:leader="none"/>
              </w:tabs>
              <w:spacing w:lineRule="auto" w:line="240"/>
              <w:ind w:hanging="0"/>
              <w:rPr>
                <w:rFonts w:eastAsia="Calibri"/>
                <w:sz w:val="18"/>
                <w:szCs w:val="18"/>
              </w:rPr>
            </w:pPr>
            <w:r>
              <w:rPr>
                <w:rFonts w:eastAsia="Calibri"/>
                <w:sz w:val="18"/>
                <w:szCs w:val="18"/>
              </w:rPr>
              <w:t>Б</w:t>
            </w:r>
            <w:r>
              <w:rPr>
                <w:rFonts w:eastAsia="Calibri"/>
                <w:i/>
                <w:sz w:val="18"/>
                <w:szCs w:val="18"/>
                <w:vertAlign w:val="subscript"/>
              </w:rPr>
              <w:t>i</w:t>
            </w:r>
            <w:r>
              <w:rPr>
                <w:rFonts w:eastAsia="Calibri"/>
                <w:sz w:val="18"/>
                <w:szCs w:val="18"/>
              </w:rPr>
              <w:t xml:space="preserve"> – балл, соответствующий отношению Участника к изготовителю (производителю) предлагаемой продукции (товара).</w:t>
            </w:r>
          </w:p>
          <w:p>
            <w:pPr>
              <w:pStyle w:val="Normal"/>
              <w:widowControl w:val="false"/>
              <w:spacing w:lineRule="auto" w:line="240" w:before="40" w:after="40"/>
              <w:ind w:hanging="0"/>
              <w:rPr>
                <w:rFonts w:eastAsia="Calibri"/>
                <w:sz w:val="18"/>
                <w:szCs w:val="18"/>
              </w:rPr>
            </w:pPr>
            <w:r>
              <w:rPr>
                <w:rFonts w:eastAsia="Calibri"/>
                <w:sz w:val="18"/>
                <w:szCs w:val="18"/>
                <w:lang w:val="en-US"/>
              </w:rPr>
              <w:t>k</w:t>
            </w:r>
            <w:r>
              <w:rPr>
                <w:rFonts w:eastAsia="Calibri"/>
                <w:i/>
                <w:sz w:val="18"/>
                <w:szCs w:val="18"/>
                <w:vertAlign w:val="subscript"/>
                <w:lang w:val="en-US"/>
              </w:rPr>
              <w:t>i</w:t>
            </w:r>
            <w:r>
              <w:rPr>
                <w:rFonts w:eastAsia="Calibri"/>
                <w:sz w:val="18"/>
                <w:szCs w:val="18"/>
              </w:rPr>
              <w:t xml:space="preserve"> – коэффициент, пропорциональный </w:t>
            </w:r>
            <w:r>
              <w:rPr>
                <w:sz w:val="18"/>
                <w:szCs w:val="18"/>
              </w:rPr>
              <w:t>объему (по стоимости) предлагаемой Участником в данном статусе продукции (товара).</w:t>
            </w:r>
          </w:p>
          <w:p>
            <w:pPr>
              <w:pStyle w:val="Normal"/>
              <w:widowControl w:val="false"/>
              <w:spacing w:lineRule="auto" w:line="240" w:before="40" w:after="40"/>
              <w:ind w:hanging="0"/>
              <w:rPr>
                <w:rFonts w:eastAsia="Calibri"/>
                <w:b/>
                <w:sz w:val="18"/>
                <w:szCs w:val="18"/>
              </w:rPr>
            </w:pPr>
            <w:r>
              <w:rPr>
                <w:rFonts w:eastAsia="Calibri"/>
                <w:b/>
                <w:sz w:val="18"/>
                <w:szCs w:val="18"/>
              </w:rPr>
              <w:t>* В случае если Участник является Коллективным Участником, то осуществляется оценка каждого члена Коллективного Участника (включая лидера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p>
          <w:p>
            <w:pPr>
              <w:pStyle w:val="Normal"/>
              <w:widowControl w:val="false"/>
              <w:spacing w:lineRule="auto" w:line="240" w:before="40" w:after="40"/>
              <w:ind w:hanging="0"/>
              <w:rPr>
                <w:rFonts w:eastAsia="Calibri"/>
                <w:b/>
                <w:sz w:val="18"/>
                <w:szCs w:val="18"/>
              </w:rPr>
            </w:pPr>
            <w:r>
              <w:rPr>
                <w:rFonts w:eastAsia="Calibri"/>
                <w:b/>
                <w:sz w:val="18"/>
                <w:szCs w:val="18"/>
              </w:rPr>
              <w:t>- Лидер Коллективного Участника не является изготовителем (производителем) предлагаемой продукции — итоговый балл не может превышать 2 балла;</w:t>
            </w:r>
          </w:p>
          <w:p>
            <w:pPr>
              <w:pStyle w:val="Normal"/>
              <w:widowControl w:val="false"/>
              <w:spacing w:lineRule="auto" w:line="240" w:before="40" w:after="40"/>
              <w:ind w:hanging="0"/>
              <w:rPr>
                <w:rFonts w:eastAsia="Calibri"/>
                <w:b/>
                <w:sz w:val="18"/>
                <w:szCs w:val="18"/>
              </w:rPr>
            </w:pPr>
            <w:r>
              <w:rPr>
                <w:rFonts w:eastAsia="Calibri"/>
                <w:b/>
                <w:sz w:val="18"/>
                <w:szCs w:val="18"/>
              </w:rPr>
              <w:t>- Лидер Коллективного Участника является изготовителем (производителем) предлагаемой продукции — ограничений по итоговому баллу нет.</w:t>
            </w:r>
          </w:p>
          <w:p>
            <w:pPr>
              <w:pStyle w:val="Normal"/>
              <w:widowControl w:val="false"/>
              <w:spacing w:lineRule="auto" w:line="240" w:before="96" w:after="96"/>
              <w:ind w:hanging="0"/>
              <w:rPr>
                <w:rFonts w:eastAsia="Calibri"/>
                <w:sz w:val="18"/>
                <w:szCs w:val="18"/>
              </w:rPr>
            </w:pPr>
            <w:r>
              <w:rPr>
                <w:rFonts w:eastAsia="Calibri"/>
                <w:sz w:val="18"/>
                <w:szCs w:val="18"/>
              </w:rPr>
              <w:t>Шкала оценок от 0 до 5 баллов.</w:t>
            </w:r>
          </w:p>
          <w:p>
            <w:pPr>
              <w:pStyle w:val="Normal"/>
              <w:widowControl w:val="false"/>
              <w:spacing w:lineRule="auto" w:line="240" w:before="96" w:after="96"/>
              <w:ind w:hanging="0"/>
              <w:rPr>
                <w:rFonts w:eastAsia="Calibri"/>
                <w:sz w:val="18"/>
                <w:szCs w:val="18"/>
              </w:rPr>
            </w:pPr>
            <w:r>
              <w:rPr>
                <w:rFonts w:eastAsia="Calibri"/>
                <w:sz w:val="18"/>
                <w:szCs w:val="18"/>
              </w:rPr>
            </w:r>
          </w:p>
          <w:p>
            <w:pPr>
              <w:pStyle w:val="Normal"/>
              <w:widowControl w:val="false"/>
              <w:spacing w:lineRule="auto" w:line="240" w:before="96" w:after="96"/>
              <w:ind w:hanging="0"/>
              <w:rPr>
                <w:sz w:val="18"/>
                <w:szCs w:val="18"/>
              </w:rPr>
            </w:pPr>
            <w:r>
              <w:rPr>
                <w:sz w:val="18"/>
                <w:szCs w:val="18"/>
              </w:rPr>
              <w:t>** Такими документами на предлагаемую продукцию могут являться:</w:t>
            </w:r>
          </w:p>
          <w:p>
            <w:pPr>
              <w:pStyle w:val="Normal"/>
              <w:widowControl w:val="false"/>
              <w:spacing w:lineRule="auto" w:line="240" w:before="96" w:after="96"/>
              <w:ind w:hanging="0"/>
              <w:rPr>
                <w:sz w:val="18"/>
                <w:szCs w:val="18"/>
              </w:rPr>
            </w:pPr>
            <w:r>
              <w:rPr>
                <w:sz w:val="18"/>
                <w:szCs w:val="18"/>
              </w:rPr>
              <w:t>а) Сертификат/декларация соответствия и/или;</w:t>
            </w:r>
          </w:p>
          <w:p>
            <w:pPr>
              <w:pStyle w:val="Normal"/>
              <w:widowControl w:val="false"/>
              <w:spacing w:lineRule="auto" w:line="240" w:before="96" w:after="96"/>
              <w:ind w:hanging="0"/>
              <w:rPr>
                <w:sz w:val="18"/>
                <w:szCs w:val="18"/>
              </w:rPr>
            </w:pPr>
            <w:r>
              <w:rPr>
                <w:sz w:val="18"/>
                <w:szCs w:val="18"/>
              </w:rPr>
              <w:t>- Протокол испытаний и/или;</w:t>
            </w:r>
          </w:p>
          <w:p>
            <w:pPr>
              <w:pStyle w:val="Normal"/>
              <w:widowControl w:val="false"/>
              <w:spacing w:lineRule="auto" w:line="240" w:before="96" w:after="96"/>
              <w:ind w:hanging="0"/>
              <w:rPr>
                <w:sz w:val="18"/>
                <w:szCs w:val="18"/>
              </w:rPr>
            </w:pPr>
            <w:r>
              <w:rPr>
                <w:sz w:val="18"/>
                <w:szCs w:val="18"/>
              </w:rPr>
              <w:t>- Сертификат качества и/или;</w:t>
            </w:r>
          </w:p>
          <w:p>
            <w:pPr>
              <w:pStyle w:val="Normal"/>
              <w:widowControl w:val="false"/>
              <w:spacing w:lineRule="auto" w:line="240" w:before="96" w:after="96"/>
              <w:ind w:hanging="0"/>
              <w:rPr>
                <w:sz w:val="18"/>
                <w:szCs w:val="18"/>
              </w:rPr>
            </w:pPr>
            <w:r>
              <w:rPr>
                <w:sz w:val="18"/>
                <w:szCs w:val="18"/>
              </w:rPr>
              <w:t>- Паспорт и/или;</w:t>
            </w:r>
          </w:p>
          <w:p>
            <w:pPr>
              <w:pStyle w:val="Normal"/>
              <w:widowControl w:val="false"/>
              <w:spacing w:lineRule="auto" w:line="240" w:before="96" w:after="96"/>
              <w:ind w:hanging="0"/>
              <w:rPr>
                <w:sz w:val="18"/>
                <w:szCs w:val="18"/>
              </w:rPr>
            </w:pPr>
            <w:r>
              <w:rPr>
                <w:sz w:val="18"/>
                <w:szCs w:val="18"/>
              </w:rPr>
              <w:t>- Технические условия и/или;</w:t>
            </w:r>
          </w:p>
          <w:p>
            <w:pPr>
              <w:pStyle w:val="Normal"/>
              <w:widowControl w:val="false"/>
              <w:spacing w:lineRule="auto" w:line="240" w:before="96" w:after="96"/>
              <w:ind w:hanging="0"/>
              <w:rPr>
                <w:sz w:val="18"/>
                <w:szCs w:val="18"/>
              </w:rPr>
            </w:pPr>
            <w:r>
              <w:rPr>
                <w:sz w:val="18"/>
                <w:szCs w:val="18"/>
              </w:rPr>
              <w:t>- Руководство по эксплуатации и/или;</w:t>
            </w:r>
          </w:p>
          <w:p>
            <w:pPr>
              <w:pStyle w:val="Normal"/>
              <w:widowControl w:val="false"/>
              <w:spacing w:lineRule="auto" w:line="240" w:before="96" w:after="96"/>
              <w:ind w:hanging="0"/>
              <w:rPr>
                <w:sz w:val="18"/>
                <w:szCs w:val="18"/>
              </w:rPr>
            </w:pPr>
            <w:r>
              <w:rPr>
                <w:sz w:val="18"/>
                <w:szCs w:val="18"/>
              </w:rPr>
              <w:t>- Техническое описание и/или;</w:t>
            </w:r>
          </w:p>
          <w:p>
            <w:pPr>
              <w:pStyle w:val="Normal"/>
              <w:widowControl w:val="false"/>
              <w:spacing w:lineRule="auto" w:line="240" w:before="96" w:after="96"/>
              <w:ind w:hanging="0"/>
              <w:rPr>
                <w:sz w:val="18"/>
                <w:szCs w:val="18"/>
              </w:rPr>
            </w:pPr>
            <w:r>
              <w:rPr>
                <w:sz w:val="18"/>
                <w:szCs w:val="18"/>
              </w:rPr>
              <w:t>- Инспекционный (аналитический) отчёт (сертификат) и/или;</w:t>
            </w:r>
          </w:p>
          <w:p>
            <w:pPr>
              <w:pStyle w:val="Normal"/>
              <w:widowControl w:val="false"/>
              <w:spacing w:lineRule="auto" w:line="240" w:before="96" w:after="96"/>
              <w:ind w:hanging="0"/>
              <w:rPr>
                <w:sz w:val="18"/>
                <w:szCs w:val="18"/>
              </w:rPr>
            </w:pPr>
            <w:r>
              <w:rPr>
                <w:sz w:val="18"/>
                <w:szCs w:val="18"/>
              </w:rPr>
              <w:t>- Сертификат отбора проб и анализа (испытаний) и/или;</w:t>
            </w:r>
          </w:p>
          <w:p>
            <w:pPr>
              <w:pStyle w:val="Normal"/>
              <w:widowControl w:val="false"/>
              <w:spacing w:lineRule="auto" w:line="240" w:before="96" w:after="96"/>
              <w:ind w:hanging="0"/>
              <w:rPr>
                <w:sz w:val="18"/>
                <w:szCs w:val="18"/>
              </w:rPr>
            </w:pPr>
            <w:r>
              <w:rPr>
                <w:sz w:val="18"/>
                <w:szCs w:val="18"/>
              </w:rPr>
              <w:t>- Номер реестровой записи из Единого реестра российской радиоэлектронной продукции (ПП РФ 878) и/или;</w:t>
            </w:r>
          </w:p>
          <w:p>
            <w:pPr>
              <w:pStyle w:val="Normal"/>
              <w:widowControl w:val="false"/>
              <w:spacing w:lineRule="auto" w:line="240" w:before="96" w:after="96"/>
              <w:ind w:hanging="0"/>
              <w:rPr>
                <w:sz w:val="18"/>
                <w:szCs w:val="18"/>
              </w:rPr>
            </w:pPr>
            <w:r>
              <w:rPr>
                <w:sz w:val="18"/>
                <w:szCs w:val="18"/>
              </w:rPr>
              <w:t>- Номер реестровой записи из Реестра российской промышленной продукции (ПП РФ 719 от 17.07.2015).</w:t>
            </w:r>
          </w:p>
          <w:p>
            <w:pPr>
              <w:pStyle w:val="Normal"/>
              <w:widowControl w:val="false"/>
              <w:spacing w:lineRule="auto" w:line="240" w:before="96" w:after="96"/>
              <w:ind w:hanging="0"/>
              <w:rPr>
                <w:sz w:val="18"/>
                <w:szCs w:val="18"/>
              </w:rPr>
            </w:pPr>
            <w:r>
              <w:rPr>
                <w:sz w:val="18"/>
                <w:szCs w:val="18"/>
              </w:rPr>
              <w:t>Либо:</w:t>
            </w:r>
          </w:p>
          <w:p>
            <w:pPr>
              <w:pStyle w:val="Normal"/>
              <w:widowControl w:val="false"/>
              <w:spacing w:lineRule="auto" w:line="240" w:before="96" w:after="96"/>
              <w:ind w:hanging="0"/>
              <w:rPr>
                <w:sz w:val="18"/>
                <w:szCs w:val="18"/>
              </w:rPr>
            </w:pPr>
            <w:r>
              <w:rPr>
                <w:sz w:val="18"/>
                <w:szCs w:val="18"/>
              </w:rPr>
              <w:t xml:space="preserve">   </w:t>
            </w:r>
            <w:r>
              <w:rPr>
                <w:sz w:val="18"/>
                <w:szCs w:val="18"/>
              </w:rPr>
              <w:t>б) Иной документ на предлагаемую продукцию, предусмотренный условиями Технических требований Документации о закупке (применяется в исключительных случаях при невозможности применить пункт а));</w:t>
            </w:r>
          </w:p>
        </w:tc>
      </w:tr>
      <w:tr>
        <w:trPr>
          <w:trHeight w:val="247" w:hRule="atLeast"/>
        </w:trPr>
        <w:tc>
          <w:tcPr>
            <w:tcW w:w="99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sz w:val="18"/>
                <w:szCs w:val="18"/>
              </w:rPr>
            </w:pPr>
            <w:r>
              <w:rPr>
                <w:rFonts w:eastAsia="Calibri"/>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240" w:before="40" w:after="40"/>
              <w:ind w:left="0" w:hanging="0"/>
              <w:jc w:val="center"/>
              <w:rPr>
                <w:sz w:val="18"/>
                <w:szCs w:val="18"/>
              </w:rPr>
            </w:pPr>
            <w:r>
              <w:rPr>
                <w:sz w:val="18"/>
                <w:szCs w:val="18"/>
              </w:rPr>
              <w:t>ОРГ</w:t>
            </w:r>
          </w:p>
        </w:tc>
        <w:tc>
          <w:tcPr>
            <w:tcW w:w="1418" w:type="dxa"/>
            <w:tcBorders>
              <w:top w:val="single" w:sz="4" w:space="0" w:color="000000"/>
              <w:left w:val="single" w:sz="4" w:space="0" w:color="000000"/>
              <w:bottom w:val="single" w:sz="4" w:space="0" w:color="000000"/>
              <w:right w:val="single" w:sz="4" w:space="0" w:color="000000"/>
            </w:tcBorders>
            <w:shd w:color="FFFFFF" w:fill="FFFFFF" w:val="clear"/>
          </w:tcPr>
          <w:p>
            <w:pPr>
              <w:pStyle w:val="3"/>
              <w:widowControl w:val="false"/>
              <w:numPr>
                <w:ilvl w:val="7"/>
                <w:numId w:val="23"/>
              </w:numPr>
              <w:spacing w:lineRule="auto" w:line="240" w:before="40" w:after="40"/>
              <w:ind w:left="0" w:right="0" w:hanging="0"/>
              <w:jc w:val="center"/>
              <w:rPr>
                <w:sz w:val="18"/>
                <w:szCs w:val="18"/>
                <w:lang w:eastAsia="ru-RU"/>
              </w:rPr>
            </w:pPr>
            <w:r>
              <w:rPr>
                <w:sz w:val="18"/>
                <w:szCs w:val="18"/>
                <w:lang w:eastAsia="ru-RU"/>
              </w:rPr>
              <w:t xml:space="preserve">Неценовой критерий оценки первого уровня </w:t>
            </w:r>
          </w:p>
          <w:p>
            <w:pPr>
              <w:pStyle w:val="Normal"/>
              <w:widowControl w:val="false"/>
              <w:numPr>
                <w:ilvl w:val="0"/>
                <w:numId w:val="0"/>
              </w:numPr>
              <w:spacing w:lineRule="auto" w:line="240" w:before="40" w:after="40"/>
              <w:ind w:left="0" w:hanging="0"/>
              <w:jc w:val="center"/>
              <w:rPr>
                <w:sz w:val="18"/>
                <w:szCs w:val="18"/>
              </w:rPr>
            </w:pPr>
            <w:r>
              <w:rPr>
                <w:sz w:val="18"/>
                <w:szCs w:val="18"/>
              </w:rPr>
            </w:r>
          </w:p>
        </w:tc>
        <w:tc>
          <w:tcPr>
            <w:tcW w:w="1420" w:type="dxa"/>
            <w:tcBorders>
              <w:top w:val="single" w:sz="4" w:space="0" w:color="000000"/>
              <w:left w:val="single" w:sz="4" w:space="0" w:color="000000"/>
              <w:bottom w:val="single" w:sz="4" w:space="0" w:color="000000"/>
              <w:right w:val="single" w:sz="4" w:space="0" w:color="000000"/>
            </w:tcBorders>
            <w:shd w:color="FFFFFF" w:fill="FFFFFF" w:val="clear"/>
          </w:tcPr>
          <w:p>
            <w:pPr>
              <w:pStyle w:val="3"/>
              <w:widowControl w:val="false"/>
              <w:numPr>
                <w:ilvl w:val="7"/>
                <w:numId w:val="24"/>
              </w:numPr>
              <w:spacing w:lineRule="auto" w:line="240" w:before="40" w:after="40"/>
              <w:ind w:left="0" w:right="0" w:hanging="0"/>
              <w:jc w:val="center"/>
              <w:rPr>
                <w:sz w:val="18"/>
                <w:szCs w:val="18"/>
                <w:lang w:eastAsia="ru-RU"/>
              </w:rPr>
            </w:pPr>
            <w:r>
              <w:rPr>
                <w:rFonts w:eastAsia="Calibri"/>
                <w:sz w:val="18"/>
                <w:szCs w:val="18"/>
              </w:rPr>
              <w:t>Финансовое состояние (устойчивость) Участника</w:t>
            </w:r>
          </w:p>
          <w:p>
            <w:pPr>
              <w:pStyle w:val="Normal"/>
              <w:widowControl w:val="false"/>
              <w:numPr>
                <w:ilvl w:val="0"/>
                <w:numId w:val="0"/>
              </w:numPr>
              <w:spacing w:lineRule="auto" w:line="240" w:before="40" w:after="40"/>
              <w:ind w:left="0" w:hanging="0"/>
              <w:jc w:val="center"/>
              <w:rPr>
                <w:rFonts w:eastAsia="Calibri"/>
                <w:sz w:val="18"/>
                <w:szCs w:val="18"/>
              </w:rPr>
            </w:pPr>
            <w:r>
              <w:rPr>
                <w:rFonts w:eastAsia="Calibri"/>
                <w:sz w:val="18"/>
                <w:szCs w:val="18"/>
              </w:rPr>
            </w:r>
          </w:p>
        </w:tc>
        <w:tc>
          <w:tcPr>
            <w:tcW w:w="113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before="120" w:after="0"/>
              <w:ind w:left="0" w:hanging="0"/>
              <w:jc w:val="center"/>
              <w:rPr>
                <w:rFonts w:eastAsia="Calibri"/>
                <w:sz w:val="18"/>
                <w:szCs w:val="18"/>
              </w:rPr>
            </w:pPr>
            <w:r>
              <w:rPr>
                <w:rFonts w:eastAsia="Calibri"/>
                <w:sz w:val="18"/>
                <w:szCs w:val="18"/>
              </w:rPr>
              <w:t>Отсутствует</w:t>
            </w:r>
          </w:p>
          <w:p>
            <w:pPr>
              <w:pStyle w:val="Normal"/>
              <w:widowControl w:val="false"/>
              <w:numPr>
                <w:ilvl w:val="0"/>
                <w:numId w:val="0"/>
              </w:numPr>
              <w:ind w:left="0" w:hanging="0"/>
              <w:jc w:val="center"/>
              <w:rPr>
                <w:rFonts w:eastAsia="Calibri"/>
                <w:sz w:val="18"/>
                <w:szCs w:val="18"/>
              </w:rPr>
            </w:pPr>
            <w:r>
              <w:rPr>
                <w:rFonts w:eastAsia="Calibri"/>
                <w:sz w:val="18"/>
                <w:szCs w:val="18"/>
              </w:rPr>
            </w:r>
          </w:p>
        </w:tc>
        <w:tc>
          <w:tcPr>
            <w:tcW w:w="995"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before="120" w:after="0"/>
              <w:ind w:left="0" w:hanging="0"/>
              <w:jc w:val="center"/>
              <w:rPr>
                <w:rFonts w:eastAsia="Calibri"/>
                <w:sz w:val="18"/>
                <w:szCs w:val="18"/>
              </w:rPr>
            </w:pPr>
            <w:r>
              <w:rPr>
                <w:rFonts w:eastAsia="Calibri"/>
                <w:sz w:val="18"/>
                <w:szCs w:val="18"/>
              </w:rPr>
              <w:t xml:space="preserve">5% </w:t>
            </w:r>
          </w:p>
          <w:p>
            <w:pPr>
              <w:pStyle w:val="Normal"/>
              <w:widowControl w:val="false"/>
              <w:numPr>
                <w:ilvl w:val="0"/>
                <w:numId w:val="0"/>
              </w:numPr>
              <w:ind w:left="0" w:hanging="0"/>
              <w:jc w:val="center"/>
              <w:rPr>
                <w:rFonts w:eastAsia="Calibri"/>
                <w:sz w:val="18"/>
                <w:szCs w:val="18"/>
              </w:rPr>
            </w:pPr>
            <w:r>
              <w:rPr>
                <w:rFonts w:eastAsia="Calibri"/>
                <w:sz w:val="18"/>
                <w:szCs w:val="18"/>
              </w:rPr>
              <w:t>(В3 = 0,05)</w:t>
            </w:r>
          </w:p>
        </w:tc>
        <w:tc>
          <w:tcPr>
            <w:tcW w:w="2236"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120" w:after="0"/>
              <w:ind w:left="0" w:hanging="0"/>
              <w:jc w:val="center"/>
              <w:rPr>
                <w:rFonts w:eastAsia="Calibri"/>
                <w:sz w:val="20"/>
              </w:rPr>
            </w:pPr>
            <w:r>
              <w:rPr>
                <w:rFonts w:eastAsia="Calibri"/>
                <w:sz w:val="20"/>
              </w:rPr>
            </w:r>
          </w:p>
          <w:p>
            <w:pPr>
              <w:pStyle w:val="Normal"/>
              <w:widowControl w:val="false"/>
              <w:numPr>
                <w:ilvl w:val="0"/>
                <w:numId w:val="0"/>
              </w:numPr>
              <w:spacing w:lineRule="auto" w:line="240"/>
              <w:ind w:left="0" w:hanging="0"/>
              <w:jc w:val="center"/>
              <w:rPr>
                <w:rFonts w:eastAsia="Calibri"/>
                <w:sz w:val="20"/>
              </w:rPr>
            </w:pPr>
            <w:r>
              <w:rPr>
                <w:rFonts w:eastAsia="Calibri"/>
                <w:sz w:val="20"/>
              </w:rPr>
            </w:r>
          </w:p>
          <w:p>
            <w:pPr>
              <w:pStyle w:val="Normal"/>
              <w:widowControl w:val="false"/>
              <w:numPr>
                <w:ilvl w:val="0"/>
                <w:numId w:val="0"/>
              </w:numPr>
              <w:spacing w:lineRule="auto" w:line="240"/>
              <w:ind w:left="0" w:hanging="0"/>
              <w:jc w:val="center"/>
              <w:rPr>
                <w:rFonts w:eastAsia="Calibri"/>
                <w:sz w:val="20"/>
              </w:rPr>
            </w:pPr>
            <w:r>
              <w:rPr>
                <w:rFonts w:eastAsia="Calibri"/>
                <w:sz w:val="20"/>
              </w:rPr>
              <w:t>Чем выше оценка финансового состояния (устойчивости) Участника, тем выше предпочтительность</w:t>
            </w:r>
          </w:p>
        </w:tc>
        <w:tc>
          <w:tcPr>
            <w:tcW w:w="5977" w:type="dxa"/>
            <w:tcBorders>
              <w:top w:val="single" w:sz="4" w:space="0" w:color="000000"/>
              <w:left w:val="single" w:sz="4" w:space="0" w:color="000000"/>
              <w:bottom w:val="single" w:sz="4" w:space="0" w:color="000000"/>
              <w:right w:val="single" w:sz="4" w:space="0" w:color="000000"/>
            </w:tcBorders>
            <w:shd w:color="FFFFFF" w:fill="FFFFFF" w:val="clear"/>
          </w:tcPr>
          <w:p>
            <w:pPr>
              <w:pStyle w:val="Style22"/>
              <w:widowControl w:val="false"/>
              <w:spacing w:before="40" w:after="40"/>
              <w:jc w:val="left"/>
              <w:rPr>
                <w:sz w:val="18"/>
                <w:szCs w:val="18"/>
              </w:rPr>
            </w:pPr>
            <w:r>
              <w:rPr>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2"/>
              <w:widowControl w:val="false"/>
              <w:spacing w:before="40" w:after="40"/>
              <w:jc w:val="left"/>
              <w:rPr>
                <w:sz w:val="18"/>
                <w:szCs w:val="18"/>
              </w:rPr>
            </w:pPr>
            <w:r>
              <w:rPr>
                <w:sz w:val="18"/>
                <w:szCs w:val="18"/>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sz w:val="18"/>
                <w:szCs w:val="18"/>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2"/>
              <w:keepNext w:val="true"/>
              <w:widowControl w:val="false"/>
              <w:numPr>
                <w:ilvl w:val="0"/>
                <w:numId w:val="25"/>
              </w:numPr>
              <w:spacing w:before="40" w:after="0"/>
              <w:ind w:left="142" w:hanging="142"/>
              <w:jc w:val="left"/>
              <w:rPr>
                <w:sz w:val="18"/>
                <w:szCs w:val="18"/>
              </w:rPr>
            </w:pPr>
            <w:r>
              <w:rPr>
                <w:sz w:val="18"/>
                <w:szCs w:val="18"/>
              </w:rPr>
              <w:t>порядок проведения оценки финансового состояния (устойчивости) Участника установлен в Приложении 4 к Положению об аккредитации</w:t>
            </w:r>
            <w:r>
              <w:rPr>
                <w:rStyle w:val="FootnoteReference"/>
                <w:sz w:val="18"/>
                <w:szCs w:val="18"/>
              </w:rPr>
              <w:footnoteReference w:id="17"/>
            </w:r>
            <w:r>
              <w:rPr>
                <w:sz w:val="18"/>
                <w:szCs w:val="18"/>
              </w:rPr>
              <w:t>;</w:t>
            </w:r>
          </w:p>
          <w:p>
            <w:pPr>
              <w:pStyle w:val="Style22"/>
              <w:keepNext w:val="true"/>
              <w:widowControl w:val="false"/>
              <w:numPr>
                <w:ilvl w:val="0"/>
                <w:numId w:val="25"/>
              </w:numPr>
              <w:spacing w:before="0" w:after="40"/>
              <w:ind w:left="142" w:hanging="142"/>
              <w:jc w:val="left"/>
              <w:rPr>
                <w:sz w:val="18"/>
                <w:szCs w:val="18"/>
              </w:rPr>
            </w:pPr>
            <w:r>
              <w:rPr>
                <w:sz w:val="18"/>
                <w:szCs w:val="18"/>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 по состоянию на дату окончания срока подачи заявок.</w:t>
            </w:r>
          </w:p>
          <w:p>
            <w:pPr>
              <w:pStyle w:val="Style22"/>
              <w:keepNext w:val="true"/>
              <w:widowControl w:val="false"/>
              <w:spacing w:before="120" w:after="40"/>
              <w:ind w:left="142" w:hanging="0"/>
              <w:jc w:val="left"/>
              <w:rPr>
                <w:sz w:val="18"/>
                <w:szCs w:val="18"/>
              </w:rPr>
            </w:pPr>
            <w:r>
              <w:rPr>
                <w:sz w:val="18"/>
                <w:szCs w:val="18"/>
              </w:rPr>
              <w:t>Если Участник в соответствии с законодательством не размещает сведения о своей бухгалтерской (финансовой) отчетности (по формам ОКУД 0710001, 0710002) в упомянутом государственном информационном ресурсе – оценка его финансового состояния производится на основании 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2"/>
              <w:keepNext w:val="true"/>
              <w:widowControl w:val="false"/>
              <w:spacing w:before="40" w:after="40"/>
              <w:ind w:left="142" w:hanging="0"/>
              <w:jc w:val="left"/>
              <w:rPr>
                <w:sz w:val="18"/>
                <w:szCs w:val="18"/>
              </w:rPr>
            </w:pPr>
            <w:r>
              <w:rPr>
                <w:sz w:val="18"/>
                <w:szCs w:val="18"/>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2"/>
              <w:keepNext w:val="true"/>
              <w:widowControl w:val="false"/>
              <w:numPr>
                <w:ilvl w:val="0"/>
                <w:numId w:val="25"/>
              </w:numPr>
              <w:spacing w:before="40" w:after="0"/>
              <w:ind w:left="284" w:hanging="142"/>
              <w:jc w:val="left"/>
              <w:rPr>
                <w:sz w:val="18"/>
                <w:szCs w:val="18"/>
              </w:rPr>
            </w:pPr>
            <w:r>
              <w:rPr>
                <w:sz w:val="18"/>
                <w:szCs w:val="18"/>
              </w:rPr>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2"/>
              <w:keepNext w:val="true"/>
              <w:widowControl w:val="false"/>
              <w:numPr>
                <w:ilvl w:val="0"/>
                <w:numId w:val="25"/>
              </w:numPr>
              <w:spacing w:before="0" w:after="40"/>
              <w:ind w:left="284" w:hanging="142"/>
              <w:jc w:val="left"/>
              <w:rPr>
                <w:sz w:val="18"/>
                <w:szCs w:val="18"/>
              </w:rPr>
            </w:pPr>
            <w:r>
              <w:rPr>
                <w:sz w:val="18"/>
                <w:szCs w:val="18"/>
              </w:rPr>
              <w:t>дополнительных сведений о размере всех требуемых показателей согласно данным бухгалтерской (финансовой) отчетности по установленной форме (</w:t>
            </w:r>
            <w:hyperlink w:anchor="Прил11_Форма_данных_бухотчетность" w:tgtFrame="#Прил11_Форма_данных_бухотчетность">
              <w:r>
                <w:rPr>
                  <w:rStyle w:val="Hyperlink"/>
                  <w:sz w:val="18"/>
                  <w:szCs w:val="18"/>
                </w:rPr>
                <w:t>Приложение № 11</w:t>
              </w:r>
            </w:hyperlink>
            <w:r>
              <w:rPr>
                <w:sz w:val="18"/>
                <w:szCs w:val="18"/>
              </w:rPr>
              <w:t>).</w:t>
            </w:r>
          </w:p>
          <w:p>
            <w:pPr>
              <w:pStyle w:val="Style22"/>
              <w:keepNext w:val="true"/>
              <w:widowControl w:val="false"/>
              <w:spacing w:before="40" w:after="40"/>
              <w:jc w:val="left"/>
              <w:rPr>
                <w:sz w:val="18"/>
                <w:szCs w:val="18"/>
              </w:rPr>
            </w:pPr>
            <w:r>
              <w:rPr>
                <w:sz w:val="18"/>
                <w:szCs w:val="18"/>
              </w:rPr>
              <w:t>Оценка предпочтительности по частному критерию осуществляется в соответствии со следующей шкалой:</w:t>
            </w:r>
          </w:p>
          <w:tbl>
            <w:tblPr>
              <w:tblStyle w:val="1518"/>
              <w:tblW w:w="5445"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93"/>
              <w:gridCol w:w="4651"/>
            </w:tblGrid>
            <w:tr>
              <w:trPr/>
              <w:tc>
                <w:tcPr>
                  <w:tcW w:w="793" w:type="dxa"/>
                  <w:tcBorders>
                    <w:top w:val="nil"/>
                    <w:left w:val="nil"/>
                  </w:tcBorders>
                </w:tcPr>
                <w:p>
                  <w:pPr>
                    <w:pStyle w:val="Style22"/>
                    <w:keepNext w:val="false"/>
                    <w:widowControl w:val="fals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oMath>
                  </m:oMathPara>
                </w:p>
              </w:tc>
              <w:tc>
                <w:tcPr>
                  <w:tcW w:w="4651" w:type="dxa"/>
                  <w:tcBorders>
                    <w:top w:val="nil"/>
                    <w:right w:val="nil"/>
                  </w:tcBorders>
                </w:tcPr>
                <w:p>
                  <w:pPr>
                    <w:pStyle w:val="Style22"/>
                    <w:widowControl w:val="false"/>
                    <w:spacing w:before="40" w:after="40"/>
                    <w:jc w:val="left"/>
                    <w:rPr>
                      <w:b w:val="false"/>
                      <w:sz w:val="18"/>
                      <w:szCs w:val="18"/>
                    </w:rPr>
                  </w:pPr>
                  <w:r>
                    <w:rPr>
                      <w:b w:val="false"/>
                      <w:kern w:val="0"/>
                      <w:sz w:val="18"/>
                      <w:szCs w:val="18"/>
                    </w:rPr>
                    <w:t>результат оценки финансового состояния (устойчивости): менее 0,45 баллов – Кризисное финансовое состояние</w:t>
                  </w:r>
                </w:p>
                <w:p>
                  <w:pPr>
                    <w:pStyle w:val="Style22"/>
                    <w:widowControl w:val="false"/>
                    <w:spacing w:before="40" w:after="40"/>
                    <w:jc w:val="left"/>
                    <w:rPr>
                      <w:b w:val="false"/>
                      <w:i/>
                      <w:i/>
                      <w:iCs/>
                      <w:sz w:val="18"/>
                      <w:szCs w:val="18"/>
                    </w:rPr>
                  </w:pPr>
                  <w:r>
                    <w:rPr>
                      <w:b w:val="false"/>
                      <w:i/>
                      <w:iCs/>
                      <w:kern w:val="0"/>
                      <w:sz w:val="18"/>
                      <w:szCs w:val="18"/>
                    </w:rPr>
                    <w:t>или</w:t>
                  </w:r>
                </w:p>
                <w:p>
                  <w:pPr>
                    <w:pStyle w:val="Style22"/>
                    <w:widowControl w:val="false"/>
                    <w:spacing w:before="40" w:after="40"/>
                    <w:jc w:val="left"/>
                    <w:rPr>
                      <w:b w:val="false"/>
                      <w:sz w:val="18"/>
                      <w:szCs w:val="18"/>
                    </w:rPr>
                  </w:pPr>
                  <w:r>
                    <w:rPr>
                      <w:b w:val="false"/>
                      <w:kern w:val="0"/>
                      <w:sz w:val="18"/>
                      <w:szCs w:val="18"/>
                    </w:rPr>
                    <w:t>в случае отсутствия исходных данных для оценки финансового состояния Участника, в том числе если он является:</w:t>
                  </w:r>
                </w:p>
                <w:p>
                  <w:pPr>
                    <w:pStyle w:val="Style22"/>
                    <w:widowControl w:val="false"/>
                    <w:numPr>
                      <w:ilvl w:val="0"/>
                      <w:numId w:val="25"/>
                    </w:numPr>
                    <w:spacing w:before="40" w:after="0"/>
                    <w:ind w:left="142" w:hanging="142"/>
                    <w:jc w:val="left"/>
                    <w:rPr>
                      <w:b w:val="false"/>
                      <w:sz w:val="18"/>
                      <w:szCs w:val="18"/>
                    </w:rPr>
                  </w:pPr>
                  <w:r>
                    <w:rPr>
                      <w:b w:val="false"/>
                      <w:kern w:val="0"/>
                      <w:sz w:val="18"/>
                      <w:szCs w:val="18"/>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2"/>
                    <w:keepNext w:val="false"/>
                    <w:widowControl w:val="false"/>
                    <w:numPr>
                      <w:ilvl w:val="0"/>
                      <w:numId w:val="25"/>
                    </w:numPr>
                    <w:spacing w:before="0" w:after="40"/>
                    <w:ind w:left="142" w:hanging="142"/>
                    <w:jc w:val="left"/>
                    <w:rPr>
                      <w:b w:val="false"/>
                      <w:sz w:val="18"/>
                      <w:szCs w:val="18"/>
                    </w:rPr>
                  </w:pPr>
                  <w:r>
                    <w:rPr>
                      <w:b w:val="false"/>
                      <w:kern w:val="0"/>
                      <w:sz w:val="18"/>
                      <w:szCs w:val="18"/>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793" w:type="dxa"/>
                  <w:tcBorders>
                    <w:left w:val="nil"/>
                  </w:tcBorders>
                </w:tcPr>
                <w:p>
                  <w:pPr>
                    <w:pStyle w:val="Style22"/>
                    <w:widowControl w:val="fals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3</m:t>
                      </m:r>
                    </m:oMath>
                  </m:oMathPara>
                </w:p>
              </w:tc>
              <w:tc>
                <w:tcPr>
                  <w:tcW w:w="4651" w:type="dxa"/>
                  <w:tcBorders>
                    <w:right w:val="nil"/>
                  </w:tcBorders>
                </w:tcPr>
                <w:p>
                  <w:pPr>
                    <w:pStyle w:val="Style22"/>
                    <w:widowControl w:val="false"/>
                    <w:spacing w:before="40" w:after="40"/>
                    <w:jc w:val="left"/>
                    <w:rPr>
                      <w:sz w:val="18"/>
                      <w:szCs w:val="18"/>
                    </w:rPr>
                  </w:pPr>
                  <w:r>
                    <w:rPr>
                      <w:kern w:val="0"/>
                      <w:sz w:val="18"/>
                      <w:szCs w:val="18"/>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793" w:type="dxa"/>
                  <w:tcBorders>
                    <w:left w:val="nil"/>
                    <w:bottom w:val="nil"/>
                  </w:tcBorders>
                </w:tcPr>
                <w:p>
                  <w:pPr>
                    <w:pStyle w:val="Style22"/>
                    <w:widowControl w:val="fals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5</m:t>
                      </m:r>
                    </m:oMath>
                  </m:oMathPara>
                </w:p>
              </w:tc>
              <w:tc>
                <w:tcPr>
                  <w:tcW w:w="4651" w:type="dxa"/>
                  <w:tcBorders>
                    <w:bottom w:val="nil"/>
                    <w:right w:val="nil"/>
                  </w:tcBorders>
                </w:tcPr>
                <w:p>
                  <w:pPr>
                    <w:pStyle w:val="Style22"/>
                    <w:widowControl w:val="false"/>
                    <w:spacing w:before="40" w:after="40"/>
                    <w:jc w:val="left"/>
                    <w:rPr>
                      <w:sz w:val="18"/>
                      <w:szCs w:val="18"/>
                    </w:rPr>
                  </w:pPr>
                  <w:r>
                    <w:rPr>
                      <w:kern w:val="0"/>
                      <w:sz w:val="18"/>
                      <w:szCs w:val="18"/>
                    </w:rPr>
                    <w:t>результат оценки финансового состояния (устойчивости): более 0,90 баллов – Удовлетворительное финансовое состояние,</w:t>
                  </w:r>
                </w:p>
              </w:tc>
            </w:tr>
          </w:tbl>
          <w:p>
            <w:pPr>
              <w:pStyle w:val="Style22"/>
              <w:widowControl w:val="false"/>
              <w:spacing w:before="40" w:after="40"/>
              <w:jc w:val="left"/>
              <w:rPr>
                <w:sz w:val="18"/>
                <w:szCs w:val="18"/>
              </w:rPr>
            </w:pPr>
            <w:r>
              <w:rPr>
                <w:sz w:val="18"/>
                <w:szCs w:val="18"/>
              </w:rPr>
              <w:t>где:</w:t>
            </w:r>
          </w:p>
          <w:p>
            <w:pPr>
              <w:pStyle w:val="Style22"/>
              <w:widowControl w:val="fals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sz w:val="18"/>
                <w:szCs w:val="18"/>
              </w:rPr>
              <w:t xml:space="preserve"> – </w:t>
            </w:r>
            <w:r>
              <w:rPr>
                <w:sz w:val="18"/>
                <w:szCs w:val="18"/>
              </w:rPr>
              <w:t>рассчитанная оценка предпочтительности по частному критерию оценки в баллах.</w:t>
            </w:r>
          </w:p>
          <w:p>
            <w:pPr>
              <w:pStyle w:val="Style22"/>
              <w:widowControl w:val="false"/>
              <w:spacing w:before="40" w:after="40"/>
              <w:jc w:val="left"/>
              <w:rPr>
                <w:sz w:val="18"/>
                <w:szCs w:val="18"/>
              </w:rPr>
            </w:pPr>
            <w:r>
              <w:rPr>
                <w:sz w:val="18"/>
                <w:szCs w:val="18"/>
              </w:rPr>
              <w:t>Шкала оценок от 0 до 5 баллов.</w:t>
            </w:r>
          </w:p>
          <w:p>
            <w:pPr>
              <w:pStyle w:val="Style22"/>
              <w:widowControl w:val="false"/>
              <w:spacing w:before="40" w:after="40"/>
              <w:jc w:val="left"/>
              <w:rPr>
                <w:i/>
                <w:i/>
                <w:iCs/>
                <w:sz w:val="18"/>
                <w:szCs w:val="18"/>
              </w:rPr>
            </w:pPr>
            <w:r>
              <w:rPr>
                <w:i/>
                <w:iCs/>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22"/>
              <w:widowControl w:val="false"/>
              <w:spacing w:before="40" w:after="40"/>
              <w:jc w:val="left"/>
              <w:rPr>
                <w:i/>
                <w:i/>
                <w:iCs/>
                <w:sz w:val="18"/>
                <w:szCs w:val="18"/>
              </w:rPr>
            </w:pPr>
            <w:r>
              <w:rPr>
                <w:i/>
                <w:iCs/>
                <w:sz w:val="18"/>
                <w:szCs w:val="18"/>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10) (</w:t>
            </w:r>
            <w:hyperlink w:anchor="Прил04_ФормыЗаявки" w:tgtFrame="#Прил04_ФормыЗаявки">
              <w:r>
                <w:rPr>
                  <w:rStyle w:val="Style6"/>
                  <w:i/>
                  <w:iCs/>
                  <w:sz w:val="18"/>
                  <w:szCs w:val="18"/>
                </w:rPr>
                <w:t>Приложение № 4</w:t>
              </w:r>
            </w:hyperlink>
            <w:r>
              <w:rPr>
                <w:i/>
                <w:iCs/>
                <w:sz w:val="18"/>
                <w:szCs w:val="18"/>
              </w:rPr>
              <w:t>), представленному в заявке такого Коллективного участника на участие в закупке.)</w:t>
            </w:r>
          </w:p>
          <w:p>
            <w:pPr>
              <w:pStyle w:val="Style22"/>
              <w:widowControl w:val="false"/>
              <w:spacing w:before="40" w:after="40"/>
              <w:jc w:val="left"/>
              <w:rPr>
                <w:sz w:val="18"/>
                <w:szCs w:val="18"/>
              </w:rPr>
            </w:pPr>
            <w:r>
              <w:rPr>
                <w:i/>
                <w:iCs/>
                <w:sz w:val="18"/>
                <w:szCs w:val="18"/>
              </w:rPr>
              <w:t>* Примечание: В случае отсутствия в отношении какого-либо члена Коллективного участника исходных данных для оценки (в соответствии с Приложением 4 к Положению об аккредитации) его финансового состояния (устойчивости), при расчете средневзвешенной оценки Коллективного участника в отношении такого члена (в формуле) применяется значение оценки финансового состояния, равное 0,00 баллов.</w:t>
            </w:r>
          </w:p>
        </w:tc>
      </w:tr>
      <w:tr>
        <w:trPr>
          <w:trHeight w:val="247" w:hRule="atLeast"/>
        </w:trPr>
        <w:tc>
          <w:tcPr>
            <w:tcW w:w="993" w:type="dxa"/>
            <w:tcBorders>
              <w:top w:val="single" w:sz="4" w:space="0" w:color="000000"/>
              <w:left w:val="single" w:sz="4" w:space="0" w:color="000000"/>
              <w:bottom w:val="single" w:sz="4" w:space="0" w:color="000000"/>
              <w:right w:val="single" w:sz="4" w:space="0" w:color="000000"/>
            </w:tcBorders>
            <w:shd w:color="FFFFFF" w:fill="FFFFFF" w:val="clear"/>
          </w:tcPr>
          <w:p>
            <w:pPr>
              <w:pStyle w:val="Normal"/>
              <w:widowControl w:val="false"/>
              <w:numPr>
                <w:ilvl w:val="0"/>
                <w:numId w:val="0"/>
              </w:numPr>
              <w:spacing w:lineRule="auto" w:line="240" w:before="40" w:after="40"/>
              <w:ind w:left="0" w:hanging="0"/>
              <w:jc w:val="center"/>
              <w:rPr>
                <w:rFonts w:eastAsia="Calibri"/>
                <w:sz w:val="18"/>
                <w:szCs w:val="18"/>
              </w:rPr>
            </w:pPr>
            <w:r>
              <w:rPr>
                <w:sz w:val="18"/>
                <w:szCs w:val="18"/>
              </w:rPr>
              <w:t>Итоговая оценка предпочтительности заявки:</w:t>
            </w:r>
          </w:p>
        </w:tc>
        <w:tc>
          <w:tcPr>
            <w:tcW w:w="14175"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before="120" w:after="0"/>
              <w:ind w:left="0" w:hanging="0"/>
              <w:rPr>
                <w:rFonts w:eastAsia="Calibri"/>
                <w:sz w:val="18"/>
                <w:szCs w:val="18"/>
              </w:rPr>
            </w:pPr>
            <w:r>
              <w:rPr>
                <w:rFonts w:eastAsia="Calibri"/>
                <w:sz w:val="18"/>
                <w:szCs w:val="18"/>
              </w:rPr>
              <w:t xml:space="preserve">Расчет итоговой оценки предпочтительности </w:t>
            </w:r>
            <w:r>
              <w:rPr>
                <w:rFonts w:eastAsia="Calibri"/>
                <w:i/>
                <w:sz w:val="18"/>
                <w:szCs w:val="18"/>
                <w:lang w:val="en-US"/>
              </w:rPr>
              <w:t>i</w:t>
            </w:r>
            <w:r>
              <w:rPr>
                <w:rFonts w:eastAsia="Calibri"/>
                <w:sz w:val="18"/>
                <w:szCs w:val="18"/>
              </w:rPr>
              <w:t>-ой заявки:</w:t>
            </w:r>
          </w:p>
          <w:p>
            <w:pPr>
              <w:pStyle w:val="Normal"/>
              <w:keepNext w:val="true"/>
              <w:widowControl w:val="false"/>
              <w:numPr>
                <w:ilvl w:val="0"/>
                <w:numId w:val="0"/>
              </w:numPr>
              <w:ind w:left="0" w:hanging="0"/>
              <w:jc w:val="left"/>
              <w:rPr>
                <w:rFonts w:eastAsia="Calibri"/>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r>
                          <w:rPr>
                            <w:rFonts w:ascii="Cambria Math" w:hAnsi="Cambria Math"/>
                          </w:rPr>
                          <m:t xml:space="preserve">×</m:t>
                        </m:r>
                        <m:sSub>
                          <m:e>
                            <m:r>
                              <w:rPr>
                                <w:rFonts w:ascii="Cambria Math" w:hAnsi="Cambria Math"/>
                              </w:rPr>
                              <m:t xml:space="preserve">В</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e>
                    </m:d>
                  </m:e>
                </m:nary>
                <m:r>
                  <w:rPr>
                    <w:rFonts w:ascii="Cambria Math" w:hAnsi="Cambria Math"/>
                  </w:rPr>
                  <m:t xml:space="preserve">,</m:t>
                </m:r>
              </m:oMath>
            </m:oMathPara>
          </w:p>
          <w:p>
            <w:pPr>
              <w:pStyle w:val="Normal"/>
              <w:keepNext w:val="true"/>
              <w:widowControl w:val="false"/>
              <w:numPr>
                <w:ilvl w:val="0"/>
                <w:numId w:val="0"/>
              </w:numPr>
              <w:ind w:left="0" w:hanging="0"/>
              <w:rPr>
                <w:rFonts w:eastAsia="Calibri"/>
                <w:sz w:val="18"/>
                <w:szCs w:val="18"/>
              </w:rPr>
            </w:pPr>
            <w:r>
              <w:rPr>
                <w:rFonts w:eastAsia="Calibri"/>
                <w:sz w:val="18"/>
                <w:szCs w:val="18"/>
              </w:rPr>
              <w:t>где:</w:t>
            </w:r>
          </w:p>
          <w:p>
            <w:pPr>
              <w:pStyle w:val="Normal"/>
              <w:widowControl w:val="false"/>
              <w:numPr>
                <w:ilvl w:val="0"/>
                <w:numId w:val="0"/>
              </w:numPr>
              <w:tabs>
                <w:tab w:val="clear" w:pos="708"/>
                <w:tab w:val="left" w:pos="742" w:leader="none"/>
                <w:tab w:val="left" w:pos="1167" w:leader="none"/>
              </w:tabs>
              <w:ind w:left="0" w:hanging="0"/>
              <w:rPr>
                <w:rFonts w:eastAsia="Calibri"/>
                <w:sz w:val="18"/>
                <w:szCs w:val="18"/>
              </w:rPr>
            </w:pPr>
            <w:r>
              <w:rPr>
                <w:rFonts w:eastAsia="Calibri"/>
                <w:sz w:val="18"/>
                <w:szCs w:val="18"/>
              </w:rPr>
              <w:t>Б</w:t>
            </w:r>
            <w:r>
              <w:rPr>
                <w:rFonts w:eastAsia="Calibri"/>
                <w:sz w:val="18"/>
                <w:szCs w:val="18"/>
                <w:vertAlign w:val="subscript"/>
              </w:rPr>
              <w:t>ИТОГ</w:t>
            </w:r>
            <w:r>
              <w:rPr>
                <w:rFonts w:eastAsia="Calibri"/>
                <w:sz w:val="18"/>
                <w:szCs w:val="18"/>
              </w:rPr>
              <w:tab/>
              <w:t>–</w:t>
              <w:tab/>
              <w:t>рассчитанная итоговая оценка предпочтительности в баллах;</w:t>
            </w:r>
          </w:p>
          <w:p>
            <w:pPr>
              <w:pStyle w:val="Normal"/>
              <w:widowControl w:val="false"/>
              <w:numPr>
                <w:ilvl w:val="0"/>
                <w:numId w:val="0"/>
              </w:numPr>
              <w:tabs>
                <w:tab w:val="clear" w:pos="708"/>
                <w:tab w:val="left" w:pos="742" w:leader="none"/>
                <w:tab w:val="left" w:pos="1167" w:leader="none"/>
              </w:tabs>
              <w:ind w:left="0" w:hanging="0"/>
              <w:rPr>
                <w:rFonts w:eastAsia="Calibri"/>
                <w:sz w:val="18"/>
                <w:szCs w:val="18"/>
              </w:rPr>
            </w:pPr>
            <w:r>
              <w:rPr>
                <w:rFonts w:eastAsia="Calibri"/>
                <w:sz w:val="18"/>
                <w:szCs w:val="18"/>
              </w:rPr>
              <w:t>Б</w:t>
            </w:r>
            <w:r>
              <w:rPr>
                <w:rFonts w:eastAsia="Calibri"/>
                <w:sz w:val="18"/>
                <w:szCs w:val="18"/>
                <w:vertAlign w:val="subscript"/>
              </w:rPr>
              <w:t>1 уровень k</w:t>
            </w:r>
            <w:r>
              <w:rPr>
                <w:rFonts w:eastAsia="Calibri"/>
                <w:sz w:val="18"/>
                <w:szCs w:val="18"/>
              </w:rPr>
              <w:tab/>
              <w:t>–</w:t>
              <w:tab/>
              <w:t>оценка предпочтительности по k-тому критерию оценки первого уровня в баллах;</w:t>
            </w:r>
          </w:p>
          <w:p>
            <w:pPr>
              <w:pStyle w:val="Normal"/>
              <w:widowControl w:val="false"/>
              <w:numPr>
                <w:ilvl w:val="0"/>
                <w:numId w:val="0"/>
              </w:numPr>
              <w:tabs>
                <w:tab w:val="clear" w:pos="708"/>
                <w:tab w:val="left" w:pos="742" w:leader="none"/>
                <w:tab w:val="left" w:pos="1167" w:leader="none"/>
              </w:tabs>
              <w:ind w:left="0" w:hanging="0"/>
              <w:rPr>
                <w:rFonts w:eastAsia="Calibri"/>
                <w:sz w:val="18"/>
                <w:szCs w:val="18"/>
              </w:rPr>
            </w:pPr>
            <w:r>
              <w:rPr>
                <w:rFonts w:eastAsia="Calibri"/>
                <w:sz w:val="18"/>
                <w:szCs w:val="18"/>
              </w:rPr>
              <w:t>В</w:t>
            </w:r>
            <w:r>
              <w:rPr>
                <w:rFonts w:eastAsia="Calibri"/>
                <w:sz w:val="18"/>
                <w:szCs w:val="18"/>
                <w:vertAlign w:val="subscript"/>
              </w:rPr>
              <w:t>1 уровень k</w:t>
            </w:r>
            <w:r>
              <w:rPr>
                <w:rFonts w:eastAsia="Calibri"/>
                <w:sz w:val="18"/>
                <w:szCs w:val="18"/>
              </w:rPr>
              <w:tab/>
              <w:t>–</w:t>
              <w:tab/>
              <w:t>значимость k-ого критерия оценки первого уровня, выраженная в диапазоне от 1% до 100% (или от 0,01 до 1,00) – вес k-ого критерия оценки первого уровня.</w:t>
            </w:r>
          </w:p>
          <w:p>
            <w:pPr>
              <w:pStyle w:val="Normal"/>
              <w:widowControl w:val="false"/>
              <w:numPr>
                <w:ilvl w:val="0"/>
                <w:numId w:val="0"/>
              </w:numPr>
              <w:tabs>
                <w:tab w:val="clear" w:pos="708"/>
                <w:tab w:val="left" w:pos="742" w:leader="none"/>
                <w:tab w:val="left" w:pos="1167" w:leader="none"/>
              </w:tabs>
              <w:spacing w:lineRule="auto" w:line="240" w:before="120" w:after="40"/>
              <w:ind w:left="0" w:hanging="0"/>
              <w:jc w:val="left"/>
              <w:rPr>
                <w:rFonts w:eastAsia="Calibri"/>
                <w:sz w:val="20"/>
              </w:rPr>
            </w:pPr>
            <w:r>
              <w:rPr>
                <w:i/>
                <w:iCs/>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p>
            <w:pPr>
              <w:pStyle w:val="Normal"/>
              <w:widowControl w:val="false"/>
              <w:spacing w:lineRule="auto" w:line="240"/>
              <w:ind w:left="1448" w:hanging="0"/>
              <w:rPr>
                <w:rFonts w:eastAsia="Calibri"/>
                <w:i/>
                <w:i/>
                <w:sz w:val="20"/>
              </w:rPr>
            </w:pPr>
            <w:r>
              <w:rPr>
                <w:rFonts w:eastAsia="Calibri"/>
                <w:i/>
                <w:sz w:val="20"/>
              </w:rPr>
            </w:r>
          </w:p>
        </w:tc>
      </w:tr>
    </w:tbl>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16"/>
        <w:spacing w:before="0" w:after="0"/>
        <w:rPr/>
      </w:pPr>
      <w:bookmarkStart w:id="426" w:name="_Toc230928891"/>
      <w:bookmarkStart w:id="427" w:name="Прил09_ОбоснованиеНМЦ"/>
      <w:bookmarkStart w:id="428" w:name="_Ref125360420"/>
      <w:bookmarkStart w:id="429" w:name="_Toc136261769"/>
      <w:bookmarkStart w:id="430" w:name="_Toc136261692"/>
      <w:bookmarkStart w:id="431" w:name="_Toc136249263"/>
      <w:bookmarkStart w:id="432" w:name="_Toc136261768"/>
      <w:bookmarkStart w:id="433" w:name="_Toc136261691"/>
      <w:bookmarkStart w:id="434" w:name="_Toc136249262"/>
      <w:bookmarkStart w:id="435" w:name="_Toc136261767"/>
      <w:bookmarkStart w:id="436" w:name="_Toc136261690"/>
      <w:bookmarkStart w:id="437" w:name="_Toc136249261"/>
      <w:bookmarkStart w:id="438" w:name="_Toc136261766"/>
      <w:bookmarkStart w:id="439" w:name="_Toc136261689"/>
      <w:bookmarkStart w:id="440" w:name="_Toc136249260"/>
      <w:bookmarkEnd w:id="429"/>
      <w:bookmarkEnd w:id="430"/>
      <w:bookmarkEnd w:id="431"/>
      <w:bookmarkEnd w:id="432"/>
      <w:bookmarkEnd w:id="433"/>
      <w:bookmarkEnd w:id="434"/>
      <w:bookmarkEnd w:id="435"/>
      <w:bookmarkEnd w:id="436"/>
      <w:bookmarkEnd w:id="437"/>
      <w:bookmarkEnd w:id="438"/>
      <w:bookmarkEnd w:id="439"/>
      <w:bookmarkEnd w:id="440"/>
      <w:r>
        <w:rPr/>
        <w:t>Приложение № 9 – Обоснование НМЦ</w:t>
      </w:r>
      <w:bookmarkEnd w:id="426"/>
      <w:bookmarkEnd w:id="427"/>
      <w:bookmarkEnd w:id="428"/>
    </w:p>
    <w:p>
      <w:pPr>
        <w:pStyle w:val="Style17"/>
        <w:spacing w:before="360" w:after="0"/>
        <w:rPr/>
      </w:pPr>
      <w:bookmarkStart w:id="441" w:name="_Toc230928892"/>
      <w:r>
        <w:rPr/>
        <w:t>Пояснения к Обоснованию НМЦ</w:t>
      </w:r>
      <w:bookmarkEnd w:id="441"/>
    </w:p>
    <w:p>
      <w:pPr>
        <w:pStyle w:val="Style18"/>
        <w:spacing w:before="120" w:after="0"/>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16"/>
        <w:spacing w:before="0" w:after="0"/>
        <w:rPr/>
      </w:pPr>
      <w:bookmarkStart w:id="442" w:name="_Toc230928893"/>
      <w:bookmarkStart w:id="443" w:name="Прил10_ЗаявкаНаАккредитацию"/>
      <w:bookmarkEnd w:id="443"/>
      <w:r>
        <w:rPr/>
        <w:t>Приложение № 10 – Форма Заявки на аккредитацию</w:t>
      </w:r>
      <w:bookmarkEnd w:id="442"/>
    </w:p>
    <w:p>
      <w:pPr>
        <w:pStyle w:val="Style17"/>
        <w:spacing w:before="360" w:after="0"/>
        <w:rPr/>
      </w:pPr>
      <w:bookmarkStart w:id="444" w:name="_Toc230928894"/>
      <w:r>
        <w:rPr/>
        <w:t>Пояснения к форме Заявки на аккредитацию</w:t>
      </w:r>
      <w:bookmarkEnd w:id="444"/>
    </w:p>
    <w:p>
      <w:pPr>
        <w:pStyle w:val="Style18"/>
        <w:spacing w:before="120" w:after="0"/>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18"/>
        <w:spacing w:before="0" w:after="0"/>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45"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45"/>
      <w:r>
        <w:rPr/>
        <w:t>.</w:t>
      </w:r>
    </w:p>
    <w:p>
      <w:pPr>
        <w:pStyle w:val="Style22"/>
        <w:jc w:val="center"/>
        <w:rPr/>
      </w:pPr>
      <w:r>
        <w:rPr/>
        <w:drawing>
          <wp:inline distT="0" distB="0" distL="0" distR="0">
            <wp:extent cx="1152525" cy="733425"/>
            <wp:effectExtent l="0" t="0" r="0" b="0"/>
            <wp:docPr id="6"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4" descr=""/>
                    <pic:cNvPicPr>
                      <a:picLocks noChangeAspect="1" noChangeArrowheads="1"/>
                    </pic:cNvPicPr>
                  </pic:nvPicPr>
                  <pic:blipFill>
                    <a:blip r:embed="rId37"/>
                    <a:stretch>
                      <a:fillRect/>
                    </a:stretch>
                  </pic:blipFill>
                  <pic:spPr bwMode="auto">
                    <a:xfrm>
                      <a:off x="0" y="0"/>
                      <a:ext cx="1152525" cy="733425"/>
                    </a:xfrm>
                    <a:prstGeom prst="rect">
                      <a:avLst/>
                    </a:prstGeom>
                  </pic:spPr>
                </pic:pic>
              </a:graphicData>
            </a:graphic>
          </wp:inline>
        </w:drawing>
      </w:r>
    </w:p>
    <w:p>
      <w:pPr>
        <w:pStyle w:val="Style16"/>
        <w:spacing w:before="0" w:after="0"/>
        <w:rPr/>
      </w:pPr>
      <w:bookmarkStart w:id="446" w:name="_Toc230928895"/>
      <w:bookmarkStart w:id="447" w:name="Прил11_Форма_данных_бухотчетность"/>
      <w:r>
        <w:rPr/>
        <w:t xml:space="preserve">Приложение № 11 </w:t>
      </w:r>
      <w:bookmarkEnd w:id="447"/>
      <w:r>
        <w:rPr/>
        <w:t>– форма Данных бухгалтерской (финансовой) отчетности</w:t>
      </w:r>
      <w:bookmarkEnd w:id="446"/>
    </w:p>
    <w:p>
      <w:pPr>
        <w:pStyle w:val="Style17"/>
        <w:spacing w:before="360" w:after="0"/>
        <w:rPr/>
      </w:pPr>
      <w:bookmarkStart w:id="448" w:name="_Toc230928896"/>
      <w:r>
        <w:rPr/>
        <w:t>Пояснения к форме Данных бухгалтерской (финансовой) отчетности</w:t>
      </w:r>
      <w:bookmarkEnd w:id="448"/>
      <w:r>
        <w:rPr/>
        <w:t xml:space="preserve"> </w:t>
      </w:r>
    </w:p>
    <w:p>
      <w:pPr>
        <w:pStyle w:val="Style18"/>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p>
    <w:p>
      <w:pPr>
        <w:pStyle w:val="Normal"/>
        <w:jc w:val="center"/>
        <w:rPr/>
      </w:pPr>
      <w:r>
        <w:rPr/>
        <w:drawing>
          <wp:inline distT="0" distB="0" distL="0" distR="0">
            <wp:extent cx="981075" cy="638175"/>
            <wp:effectExtent l="0" t="0" r="0" b="0"/>
            <wp:docPr id="7"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5" descr=""/>
                    <pic:cNvPicPr>
                      <a:picLocks noChangeAspect="1" noChangeArrowheads="1"/>
                    </pic:cNvPicPr>
                  </pic:nvPicPr>
                  <pic:blipFill>
                    <a:blip r:embed="rId38"/>
                    <a:stretch>
                      <a:fillRect/>
                    </a:stretch>
                  </pic:blipFill>
                  <pic:spPr bwMode="auto">
                    <a:xfrm>
                      <a:off x="0" y="0"/>
                      <a:ext cx="981075" cy="638175"/>
                    </a:xfrm>
                    <a:prstGeom prst="rect">
                      <a:avLst/>
                    </a:prstGeom>
                  </pic:spPr>
                </pic:pic>
              </a:graphicData>
            </a:graphic>
          </wp:inline>
        </w:drawing>
      </w:r>
      <w:bookmarkStart w:id="449" w:name="_MON_1821256687"/>
      <w:bookmarkEnd w:id="449"/>
    </w:p>
    <w:p>
      <w:pPr>
        <w:pStyle w:val="Normal"/>
        <w:jc w:val="center"/>
        <w:rPr/>
      </w:pPr>
      <w:r>
        <w:rPr/>
      </w:r>
    </w:p>
    <w:p>
      <w:pPr>
        <w:pStyle w:val="Normal"/>
        <w:jc w:val="center"/>
        <w:rPr/>
      </w:pPr>
      <w:r>
        <w:rPr/>
      </w:r>
    </w:p>
    <w:p>
      <w:pPr>
        <w:pStyle w:val="Normal"/>
        <w:jc w:val="center"/>
        <w:rPr/>
      </w:pPr>
      <w:r>
        <w:rPr/>
      </w:r>
    </w:p>
    <w:sectPr>
      <w:headerReference w:type="default" r:id="rId39"/>
      <w:headerReference w:type="first" r:id="rId40"/>
      <w:footerReference w:type="default" r:id="rId41"/>
      <w:footerReference w:type="first" r:id="rId4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Liberation Serif">
    <w:altName w:val="Times New Roman"/>
    <w:charset w:val="01"/>
    <w:family w:val="roman"/>
    <w:pitch w:val="variable"/>
  </w:font>
  <w:font w:name="Wingdings 3">
    <w:charset w:val="01"/>
    <w:family w:val="roman"/>
    <w:pitch w:val="variable"/>
  </w:font>
  <w:font w:name="Times New Roman CYR">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24</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73</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74</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83</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25</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51</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60</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65</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4"/>
        <w:spacing w:before="80" w:after="0"/>
        <w:ind w:left="567" w:hanging="567"/>
        <w:jc w:val="both"/>
        <w:rPr/>
      </w:pPr>
      <w:r>
        <w:rPr>
          <w:rStyle w:val="Style5"/>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24"/>
        <w:spacing w:before="80" w:after="0"/>
        <w:ind w:left="567" w:hanging="567"/>
        <w:jc w:val="both"/>
        <w:rPr/>
      </w:pPr>
      <w:r>
        <w:rPr>
          <w:rStyle w:val="Style5"/>
        </w:rPr>
        <w:footnoteRef/>
      </w:r>
      <w:r>
        <w:rPr/>
        <w:tab/>
        <w:t>Определенные в соответствии с Законом 422-ФЗ.</w:t>
      </w:r>
    </w:p>
  </w:footnote>
  <w:footnote w:id="4">
    <w:p>
      <w:pPr>
        <w:pStyle w:val="Style24"/>
        <w:spacing w:before="80" w:after="0"/>
        <w:ind w:left="567" w:hanging="567"/>
        <w:jc w:val="both"/>
        <w:rPr/>
      </w:pPr>
      <w:r>
        <w:rPr>
          <w:rStyle w:val="Style5"/>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24"/>
        <w:spacing w:before="80" w:after="0"/>
        <w:ind w:left="567" w:hanging="567"/>
        <w:jc w:val="both"/>
        <w:rPr/>
      </w:pPr>
      <w:r>
        <w:rPr>
          <w:rStyle w:val="Style5"/>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24"/>
        <w:spacing w:before="80" w:after="0"/>
        <w:ind w:left="567" w:hanging="567"/>
        <w:jc w:val="both"/>
        <w:rPr/>
      </w:pPr>
      <w:r>
        <w:rPr>
          <w:rStyle w:val="Style5"/>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7">
    <w:p>
      <w:pPr>
        <w:pStyle w:val="Style24"/>
        <w:spacing w:before="80" w:after="0"/>
        <w:ind w:left="567" w:hanging="567"/>
        <w:jc w:val="both"/>
        <w:rPr/>
      </w:pPr>
      <w:r>
        <w:rPr>
          <w:rStyle w:val="Style5"/>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24"/>
        <w:spacing w:before="80" w:after="0"/>
        <w:ind w:left="567" w:hanging="567"/>
        <w:jc w:val="both"/>
        <w:rPr/>
      </w:pPr>
      <w:r>
        <w:rPr>
          <w:rStyle w:val="Style5"/>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pPr>
        <w:pStyle w:val="Style24"/>
        <w:spacing w:before="80" w:after="0"/>
        <w:ind w:left="567" w:hanging="567"/>
        <w:jc w:val="both"/>
        <w:rPr/>
      </w:pPr>
      <w:r>
        <w:rPr>
          <w:rStyle w:val="Style5"/>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0">
    <w:p>
      <w:pPr>
        <w:pStyle w:val="Style24"/>
        <w:spacing w:before="80" w:after="0"/>
        <w:ind w:left="567" w:hanging="567"/>
        <w:jc w:val="both"/>
        <w:rPr/>
      </w:pPr>
      <w:r>
        <w:rPr>
          <w:rStyle w:val="Style5"/>
        </w:rPr>
        <w:footnoteRef/>
      </w:r>
      <w:r>
        <w:rPr/>
        <w:tab/>
        <w:t>https://minfin.gov.ru/ru/perfomance/tax_relations/policy/bankwarranty/</w:t>
      </w:r>
    </w:p>
  </w:footnote>
  <w:footnote w:id="11">
    <w:p>
      <w:pPr>
        <w:pStyle w:val="Normal"/>
        <w:spacing w:before="120" w:after="0"/>
        <w:jc w:val="both"/>
        <w:rPr>
          <w:sz w:val="20"/>
          <w:szCs w:val="20"/>
        </w:rPr>
      </w:pPr>
      <w:r>
        <w:rPr>
          <w:rStyle w:val="Style5"/>
        </w:rPr>
        <w:footnoteRef/>
      </w:r>
      <w:r>
        <w:rPr/>
        <w:t xml:space="preserve"> </w:t>
      </w:r>
      <w:r>
        <w:rPr>
          <w:sz w:val="22"/>
        </w:rPr>
        <w:t>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p>
  </w:footnote>
  <w:footnote w:id="12">
    <w:p>
      <w:pPr>
        <w:pStyle w:val="Style24"/>
        <w:spacing w:before="80" w:after="0"/>
        <w:ind w:left="567" w:hanging="567"/>
        <w:jc w:val="both"/>
        <w:rPr/>
      </w:pPr>
      <w:r>
        <w:rPr>
          <w:rStyle w:val="Style5"/>
        </w:rPr>
        <w:footnoteRef/>
      </w:r>
      <w:r>
        <w:rPr/>
        <w:tab/>
        <w:t>Коллективный участник предоставляет указанные документы на каждого члена.</w:t>
      </w:r>
    </w:p>
  </w:footnote>
  <w:footnote w:id="13">
    <w:p>
      <w:pPr>
        <w:pStyle w:val="Style24"/>
        <w:spacing w:before="80" w:after="0"/>
        <w:ind w:left="567" w:hanging="567"/>
        <w:jc w:val="both"/>
        <w:rPr/>
      </w:pPr>
      <w:r>
        <w:rPr>
          <w:rStyle w:val="Style5"/>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Победителя.</w:t>
      </w:r>
    </w:p>
  </w:footnote>
  <w:footnote w:id="14">
    <w:p>
      <w:pPr>
        <w:pStyle w:val="Style24"/>
        <w:spacing w:before="80" w:after="0"/>
        <w:ind w:left="567" w:hanging="567"/>
        <w:jc w:val="both"/>
        <w:rPr/>
      </w:pPr>
      <w:r>
        <w:rPr>
          <w:rStyle w:val="Style5"/>
        </w:rPr>
        <w:footnoteRef/>
      </w:r>
      <w:bookmarkStart w:id="450" w:name="_Hlk139028796_Копия_1_Копия_1_Копия_1"/>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50"/>
    </w:p>
  </w:footnote>
  <w:footnote w:id="15">
    <w:p>
      <w:pPr>
        <w:pStyle w:val="Style24"/>
        <w:spacing w:before="80" w:after="0"/>
        <w:ind w:left="567" w:hanging="567"/>
        <w:jc w:val="both"/>
        <w:rPr/>
      </w:pPr>
      <w:r>
        <w:rPr>
          <w:rStyle w:val="Style5"/>
        </w:rPr>
        <w:footnoteRef/>
      </w:r>
      <w:bookmarkStart w:id="451" w:name="_Hlk139028803_Копия_1_Копия_1_Копия_1"/>
      <w:bookmarkStart w:id="452" w:name="_Hlk139028804_Копия_1_Копия_1_Копия_1"/>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51"/>
      <w:bookmarkEnd w:id="452"/>
    </w:p>
  </w:footnote>
  <w:footnote w:id="16">
    <w:p>
      <w:pPr>
        <w:pStyle w:val="FootnoteText"/>
        <w:widowControl w:val="false"/>
        <w:rPr/>
      </w:pPr>
      <w:r>
        <w:rPr>
          <w:rStyle w:val="Style5"/>
        </w:rPr>
        <w:footnoteRef/>
      </w:r>
      <w:r>
        <w:rPr/>
        <w:t xml:space="preserve"> </w:t>
      </w:r>
      <w:r>
        <w:rPr/>
        <w:t xml:space="preserve">Организатор закупки с НМЦ свыше 500 млн. руб. без НДС осуществяет проверку представленных в составе заявки Участника документов на предмет отсутствия недостоверных сведений или намеренно искаженной информации, основываясь на официальных данных из открытых источников, размещенных в информативно-телекоммуникационной сети «Интернет» по адресу: egrul.nalog.ru (портал «Федеральные налоговой службы РФ») (далее – открытые источники). В случае наличия расхождений сведений с открытыми источниками в информации, подтверждающей статус Участника, Организатор закупки присваивает по данному критерию балл на основании данных из открытых источников. </w:t>
      </w:r>
    </w:p>
  </w:footnote>
  <w:footnote w:id="17">
    <w:p>
      <w:pPr>
        <w:pStyle w:val="Style24"/>
        <w:spacing w:before="80" w:after="0"/>
        <w:ind w:left="567" w:hanging="567"/>
        <w:jc w:val="both"/>
        <w:rPr/>
      </w:pPr>
      <w:r>
        <w:rPr>
          <w:rStyle w:val="Style5"/>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16"/>
      <w:numFmt w:val="decimal"/>
      <w:lvlText w:val="%1."/>
      <w:lvlJc w:val="left"/>
      <w:pPr>
        <w:tabs>
          <w:tab w:val="num" w:pos="1134"/>
        </w:tabs>
        <w:ind w:left="1134" w:hanging="1134"/>
      </w:pPr>
      <w:rPr/>
    </w:lvl>
    <w:lvl w:ilvl="1">
      <w:start w:val="1"/>
      <w:pStyle w:val="Style17"/>
      <w:numFmt w:val="decimal"/>
      <w:lvlText w:val="%1.%2"/>
      <w:lvlJc w:val="left"/>
      <w:pPr>
        <w:tabs>
          <w:tab w:val="num" w:pos="1134"/>
        </w:tabs>
        <w:ind w:left="1134" w:hanging="1134"/>
      </w:pPr>
      <w:rPr/>
    </w:lvl>
    <w:lvl w:ilvl="2">
      <w:start w:val="1"/>
      <w:pStyle w:val="Style18"/>
      <w:numFmt w:val="decimal"/>
      <w:lvlText w:val="%1.%2.%3"/>
      <w:lvlJc w:val="left"/>
      <w:pPr>
        <w:tabs>
          <w:tab w:val="num" w:pos="1134"/>
        </w:tabs>
        <w:ind w:left="1134" w:hanging="1134"/>
      </w:pPr>
      <w:rPr/>
    </w:lvl>
    <w:lvl w:ilvl="3">
      <w:start w:val="1"/>
      <w:pStyle w:val="Style19"/>
      <w:numFmt w:val="russianLower"/>
      <w:lvlText w:val="%4)"/>
      <w:lvlJc w:val="left"/>
      <w:pPr>
        <w:tabs>
          <w:tab w:val="num" w:pos="1701"/>
        </w:tabs>
        <w:ind w:left="1701" w:hanging="567"/>
      </w:pPr>
      <w:rPr/>
    </w:lvl>
    <w:lvl w:ilvl="4">
      <w:start w:val="1"/>
      <w:pStyle w:val="Style20"/>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1637"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1918" w:hanging="360"/>
      </w:pPr>
      <w:rPr/>
    </w:lvl>
    <w:lvl w:ilvl="1">
      <w:start w:val="1"/>
      <w:numFmt w:val="lowerLetter"/>
      <w:lvlText w:val="%2."/>
      <w:lvlJc w:val="left"/>
      <w:pPr>
        <w:tabs>
          <w:tab w:val="num" w:pos="0"/>
        </w:tabs>
        <w:ind w:left="2638" w:hanging="360"/>
      </w:pPr>
      <w:rPr/>
    </w:lvl>
    <w:lvl w:ilvl="2">
      <w:start w:val="1"/>
      <w:numFmt w:val="lowerRoman"/>
      <w:lvlText w:val="%3."/>
      <w:lvlJc w:val="right"/>
      <w:pPr>
        <w:tabs>
          <w:tab w:val="num" w:pos="0"/>
        </w:tabs>
        <w:ind w:left="3358" w:hanging="180"/>
      </w:pPr>
      <w:rPr/>
    </w:lvl>
    <w:lvl w:ilvl="3">
      <w:start w:val="1"/>
      <w:numFmt w:val="decimal"/>
      <w:lvlText w:val="%4."/>
      <w:lvlJc w:val="left"/>
      <w:pPr>
        <w:tabs>
          <w:tab w:val="num" w:pos="0"/>
        </w:tabs>
        <w:ind w:left="4078" w:hanging="360"/>
      </w:pPr>
      <w:rPr/>
    </w:lvl>
    <w:lvl w:ilvl="4">
      <w:start w:val="1"/>
      <w:numFmt w:val="lowerLetter"/>
      <w:lvlText w:val="%5."/>
      <w:lvlJc w:val="left"/>
      <w:pPr>
        <w:tabs>
          <w:tab w:val="num" w:pos="0"/>
        </w:tabs>
        <w:ind w:left="4798" w:hanging="360"/>
      </w:pPr>
      <w:rPr/>
    </w:lvl>
    <w:lvl w:ilvl="5">
      <w:start w:val="1"/>
      <w:numFmt w:val="lowerRoman"/>
      <w:lvlText w:val="%6."/>
      <w:lvlJc w:val="right"/>
      <w:pPr>
        <w:tabs>
          <w:tab w:val="num" w:pos="0"/>
        </w:tabs>
        <w:ind w:left="5518" w:hanging="180"/>
      </w:pPr>
      <w:rPr/>
    </w:lvl>
    <w:lvl w:ilvl="6">
      <w:start w:val="1"/>
      <w:numFmt w:val="decimal"/>
      <w:lvlText w:val="%7."/>
      <w:lvlJc w:val="left"/>
      <w:pPr>
        <w:tabs>
          <w:tab w:val="num" w:pos="0"/>
        </w:tabs>
        <w:ind w:left="6238" w:hanging="360"/>
      </w:pPr>
      <w:rPr/>
    </w:lvl>
    <w:lvl w:ilvl="7">
      <w:start w:val="1"/>
      <w:numFmt w:val="lowerLetter"/>
      <w:lvlText w:val="%8."/>
      <w:lvlJc w:val="left"/>
      <w:pPr>
        <w:tabs>
          <w:tab w:val="num" w:pos="0"/>
        </w:tabs>
        <w:ind w:left="6958" w:hanging="360"/>
      </w:pPr>
      <w:rPr/>
    </w:lvl>
    <w:lvl w:ilvl="8">
      <w:start w:val="1"/>
      <w:numFmt w:val="lowerRoman"/>
      <w:lvlText w:val="%9."/>
      <w:lvlJc w:val="right"/>
      <w:pPr>
        <w:tabs>
          <w:tab w:val="num" w:pos="0"/>
        </w:tabs>
        <w:ind w:left="7678" w:hanging="180"/>
      </w:pPr>
      <w:rPr/>
    </w:lvl>
  </w:abstractNum>
  <w:abstractNum w:abstractNumId="1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szCs w:val="28"/>
        <w:iCs w:val="false"/>
        <w:bCs/>
        <w:vanish w:val="false"/>
        <w:rFonts w:ascii="Times New Roman" w:hAnsi="Times New Roman" w:cs="Times New Roman"/>
        <w:color w:val="000000"/>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szCs w:val="28"/>
        <w:iCs w:val="false"/>
        <w:bCs/>
        <w:vanish w:val="false"/>
        <w:rFonts w:ascii="Times New Roman" w:hAnsi="Times New Roman" w:cs="Times New Roman"/>
        <w:color w:val="000000"/>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dstrike w:val="false"/>
        <w:strike w:val="false"/>
        <w:vertAlign w:val="baseline"/>
        <w:position w:val="0"/>
        <w:sz w:val="26"/>
        <w:sz w:val="26"/>
        <w:spacing w:val="0"/>
        <w:i w:val="false"/>
        <w:u w:val="none"/>
        <w:b w:val="false"/>
        <w:iCs w:val="false"/>
        <w:bCs w:val="false"/>
        <w:vanish w:val="false"/>
        <w:rFonts w:ascii="Times New Roman" w:hAnsi="Times New Roman" w:cs="Times New Roman"/>
        <w14:ligatures w14:val="none"/>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20">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21">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701"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4">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rFonts w:cs="Times New Roman"/>
      </w:rPr>
    </w:lvl>
    <w:lvl w:ilvl="6">
      <w:start w:val="1"/>
      <w:numFmt w:val="none"/>
      <w:suff w:val="nothing"/>
      <w:lvlText w:val=""/>
      <w:lvlJc w:val="left"/>
      <w:pPr>
        <w:tabs>
          <w:tab w:val="num" w:pos="0"/>
        </w:tabs>
        <w:ind w:left="1701"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1134" w:hanging="0"/>
      </w:pPr>
      <w:rPr>
        <w:rFonts w:cs="Times New Roman"/>
      </w:rPr>
    </w:lvl>
  </w:abstractNum>
  <w:abstractNum w:abstractNumId="2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sz w:val="26"/>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lineRule="auto" w:line="240" w:beforeAutospacing="0" w:before="12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Heading1">
    <w:name w:val="Heading 1"/>
    <w:basedOn w:val="Normal"/>
    <w:next w:val="Normal"/>
    <w:link w:val="Heading1Char"/>
    <w:uiPriority w:val="9"/>
    <w:qFormat/>
    <w:pPr>
      <w:keepNext w:val="true"/>
      <w:keepLines/>
      <w:spacing w:before="480" w:after="200"/>
      <w:outlineLvl w:val="0"/>
    </w:pPr>
    <w:rPr>
      <w:rFonts w:ascii="Arial" w:hAnsi="Arial" w:eastAsia="Arial" w:cs="Arial"/>
      <w:sz w:val="40"/>
      <w:szCs w:val="40"/>
    </w:rPr>
  </w:style>
  <w:style w:type="paragraph" w:styleId="Heading2">
    <w:name w:val="Heading 2"/>
    <w:basedOn w:val="Normal"/>
    <w:next w:val="Normal"/>
    <w:link w:val="Heading2Char"/>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Heading3Char"/>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link w:val="Heading4Char"/>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Heading5Char"/>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Heading6Char"/>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basedOn w:val="DefaultParagraphFont"/>
    <w:uiPriority w:val="35"/>
    <w:qFormat/>
    <w:rPr>
      <w:b/>
      <w:bCs/>
      <w:color w:val="4F81BD" w:themeColor="accent1"/>
      <w:sz w:val="18"/>
      <w:szCs w:val="18"/>
    </w:rPr>
  </w:style>
  <w:style w:type="character" w:styleId="FootnoteTextChar">
    <w:name w:val="Footnote Text Char"/>
    <w:link w:val="Footnote"/>
    <w:uiPriority w:val="99"/>
    <w:qFormat/>
    <w:rPr>
      <w:sz w:val="18"/>
    </w:rPr>
  </w:style>
  <w:style w:type="character" w:styleId="EndnoteTextChar">
    <w:name w:val="Endnote Text Char"/>
    <w:uiPriority w:val="99"/>
    <w:qFormat/>
    <w:rPr>
      <w:sz w:val="20"/>
    </w:rPr>
  </w:style>
  <w:style w:type="character" w:styleId="Style">
    <w:name w:val="Символ концевой сноски"/>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Style1" w:customStyle="1">
    <w:name w:val="Верхний колонтитул Знак"/>
    <w:basedOn w:val="DefaultParagraphFont"/>
    <w:uiPriority w:val="99"/>
    <w:qFormat/>
    <w:rPr/>
  </w:style>
  <w:style w:type="character" w:styleId="Style2" w:customStyle="1">
    <w:name w:val="Нижний колонтитул Знак"/>
    <w:basedOn w:val="DefaultParagraphFont"/>
    <w:uiPriority w:val="99"/>
    <w:qFormat/>
    <w:rPr/>
  </w:style>
  <w:style w:type="character" w:styleId="Style3" w:customStyle="1">
    <w:name w:val="[РГ] Инструкция для организатора"/>
    <w:basedOn w:val="DefaultParagraphFont"/>
    <w:uiPriority w:val="1"/>
    <w:qFormat/>
    <w:rPr>
      <w:i/>
      <w:iCs/>
      <w:shd w:fill="FFFF99" w:val="clear"/>
      <w:lang w:val="ru-RU"/>
    </w:rPr>
  </w:style>
  <w:style w:type="character" w:styleId="Style4" w:customStyle="1">
    <w:name w:val="Текст сноски Знак"/>
    <w:basedOn w:val="DefaultParagraphFont"/>
    <w:link w:val="Footnote"/>
    <w:uiPriority w:val="99"/>
    <w:semiHidden/>
    <w:qFormat/>
    <w:rPr>
      <w:sz w:val="20"/>
      <w:szCs w:val="20"/>
    </w:rPr>
  </w:style>
  <w:style w:type="character" w:styleId="Style5" w:customStyle="1">
    <w:name w:val="Символ сноски"/>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qFormat/>
    <w:rPr>
      <w:color w:val="605E5C"/>
      <w:shd w:fill="E1DFDD" w:val="clear"/>
    </w:rPr>
  </w:style>
  <w:style w:type="character" w:styleId="PlaceholderText">
    <w:name w:val="Placeholder Text"/>
    <w:basedOn w:val="DefaultParagraphFont"/>
    <w:uiPriority w:val="99"/>
    <w:semiHidden/>
    <w:qFormat/>
    <w:rPr>
      <w:color w:val="808080"/>
    </w:rPr>
  </w:style>
  <w:style w:type="character" w:styleId="Style6" w:customStyle="1">
    <w:name w:val="[РГ] Отсылка"/>
    <w:basedOn w:val="DefaultParagraphFont"/>
    <w:uiPriority w:val="1"/>
    <w:qFormat/>
    <w:rPr>
      <w:color w:val="000000"/>
      <w:spacing w:val="0"/>
      <w:u w:val="single"/>
      <w:shd w:fill="auto" w:val="clear"/>
      <w:lang w:val="ru-RU"/>
    </w:rPr>
  </w:style>
  <w:style w:type="character" w:styleId="Annotationreference">
    <w:name w:val="annotation reference"/>
    <w:basedOn w:val="DefaultParagraphFont"/>
    <w:unhideWhenUsed/>
    <w:qFormat/>
    <w:rPr>
      <w:sz w:val="16"/>
      <w:szCs w:val="16"/>
    </w:rPr>
  </w:style>
  <w:style w:type="character" w:styleId="Style7" w:customStyle="1">
    <w:name w:val="Текст примечания Знак"/>
    <w:basedOn w:val="DefaultParagraphFont"/>
    <w:link w:val="Annotationtext"/>
    <w:uiPriority w:val="99"/>
    <w:qFormat/>
    <w:rPr>
      <w:sz w:val="20"/>
      <w:szCs w:val="20"/>
    </w:rPr>
  </w:style>
  <w:style w:type="character" w:styleId="Style8" w:customStyle="1">
    <w:name w:val="Тема примечания Знак"/>
    <w:basedOn w:val="Style7"/>
    <w:link w:val="Annotationsubject"/>
    <w:uiPriority w:val="99"/>
    <w:semiHidden/>
    <w:qFormat/>
    <w:rPr>
      <w:b/>
      <w:bCs/>
      <w:sz w:val="20"/>
      <w:szCs w:val="20"/>
    </w:rPr>
  </w:style>
  <w:style w:type="character" w:styleId="Style9" w:customStyle="1">
    <w:name w:val="[РГ] Инструкция для участника"/>
    <w:basedOn w:val="DefaultParagraphFont"/>
    <w:uiPriority w:val="1"/>
    <w:qFormat/>
    <w:rPr>
      <w:i/>
      <w:shd w:fill="D0CECE" w:val="clear"/>
      <w:lang w:val="ru-RU"/>
    </w:rPr>
  </w:style>
  <w:style w:type="character" w:styleId="FollowedHyperlink">
    <w:name w:val="FollowedHyperlink"/>
    <w:basedOn w:val="DefaultParagraphFont"/>
    <w:uiPriority w:val="99"/>
    <w:semiHidden/>
    <w:unhideWhenUsed/>
    <w:rPr>
      <w:color w:val="954F72" w:themeColor="followedHyperlink"/>
      <w:u w:val="single"/>
    </w:rPr>
  </w:style>
  <w:style w:type="character" w:styleId="Style10" w:customStyle="1">
    <w:name w:val="Текст выноски Знак"/>
    <w:basedOn w:val="DefaultParagraphFont"/>
    <w:link w:val="BalloonText"/>
    <w:uiPriority w:val="99"/>
    <w:semiHidden/>
    <w:qFormat/>
    <w:rPr>
      <w:rFonts w:ascii="Segoe UI" w:hAnsi="Segoe UI" w:cs="Segoe UI"/>
      <w:sz w:val="18"/>
      <w:szCs w:val="18"/>
    </w:rPr>
  </w:style>
  <w:style w:type="character" w:styleId="Style11" w:customStyle="1">
    <w:name w:val="РГ_ЕПоЗ_а) Знак"/>
    <w:basedOn w:val="DefaultParagraphFont"/>
    <w:link w:val="Style26"/>
    <w:qFormat/>
    <w:rPr>
      <w:rFonts w:eastAsia="Calibri" w:cs="Times New Roman"/>
      <w:sz w:val="28"/>
      <w:szCs w:val="28"/>
    </w:rPr>
  </w:style>
  <w:style w:type="character" w:styleId="-" w:customStyle="1">
    <w:name w:val="РГ_ЕПоЗ_- Знак"/>
    <w:basedOn w:val="DefaultParagraphFont"/>
    <w:link w:val="-1"/>
    <w:qFormat/>
    <w:rPr>
      <w:rFonts w:eastAsia="Times New Roman" w:cs="Times New Roman"/>
      <w:sz w:val="28"/>
      <w:szCs w:val="20"/>
      <w:lang w:eastAsia="ru-RU"/>
    </w:rPr>
  </w:style>
  <w:style w:type="character" w:styleId="Style12" w:customStyle="1">
    <w:name w:val="комментарий"/>
    <w:qFormat/>
    <w:rPr>
      <w:b/>
      <w:i/>
      <w:shd w:fill="FFFF99" w:val="clear"/>
    </w:rPr>
  </w:style>
  <w:style w:type="character" w:styleId="Style13">
    <w:name w:val="Ссылка указателя"/>
    <w:qFormat/>
    <w:rPr/>
  </w:style>
  <w:style w:type="paragraph" w:styleId="Style14">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next w:val="Normal"/>
    <w:link w:val="CaptionChar"/>
    <w:uiPriority w:val="35"/>
    <w:semiHidden/>
    <w:unhideWhenUsed/>
    <w:qFormat/>
    <w:pPr>
      <w:spacing w:lineRule="auto" w:line="276"/>
    </w:pPr>
    <w:rPr>
      <w:b/>
      <w:bCs/>
      <w:color w:val="4F81BD" w:themeColor="accent1"/>
      <w:sz w:val="18"/>
      <w:szCs w:val="18"/>
    </w:rPr>
  </w:style>
  <w:style w:type="paragraph" w:styleId="Style15">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Autospacing="0" w:before="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hanging="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120" w:after="0"/>
      <w:ind w:left="720" w:right="720" w:hanging="0"/>
    </w:pPr>
    <w:rPr>
      <w:i/>
    </w:rPr>
  </w:style>
  <w:style w:type="paragraph" w:styleId="EndnoteText">
    <w:name w:val="Endnote Text"/>
    <w:basedOn w:val="Normal"/>
    <w:link w:val="EndnoteTextChar"/>
    <w:uiPriority w:val="99"/>
    <w:semiHidden/>
    <w:unhideWhenUsed/>
    <w:pPr>
      <w:spacing w:lineRule="auto" w:line="240" w:before="120" w:after="0"/>
    </w:pPr>
    <w:rPr>
      <w:sz w:val="20"/>
    </w:rPr>
  </w:style>
  <w:style w:type="paragraph" w:styleId="IndexHeading">
    <w:name w:val="Index Heading"/>
    <w:basedOn w:val="Style14"/>
    <w:pPr/>
    <w:rPr/>
  </w:style>
  <w:style w:type="paragraph" w:styleId="TOCHeading">
    <w:name w:val="TOC Heading"/>
    <w:uiPriority w:val="39"/>
    <w:unhideWhenUsed/>
    <w:qFormat/>
    <w:pPr>
      <w:widowControl/>
      <w:suppressAutoHyphens w:val="true"/>
      <w:bidi w:val="0"/>
      <w:spacing w:lineRule="auto" w:line="240" w:beforeAutospacing="0" w:before="12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ableoffigures">
    <w:name w:val="table of figures"/>
    <w:basedOn w:val="Normal"/>
    <w:next w:val="Normal"/>
    <w:uiPriority w:val="99"/>
    <w:unhideWhenUsed/>
    <w:qFormat/>
    <w:pPr>
      <w:spacing w:before="120" w:afterAutospacing="0" w:after="0"/>
    </w:pPr>
    <w:rPr/>
  </w:style>
  <w:style w:type="paragraph" w:styleId="Style16" w:customStyle="1">
    <w:name w:val="[РГ] Раздел"/>
    <w:basedOn w:val="Normal"/>
    <w:next w:val="Style17"/>
    <w:qFormat/>
    <w:pPr>
      <w:keepNext w:val="true"/>
      <w:pageBreakBefore/>
      <w:numPr>
        <w:ilvl w:val="0"/>
        <w:numId w:val="1"/>
      </w:numPr>
      <w:spacing w:before="0" w:after="360"/>
      <w:jc w:val="both"/>
      <w:outlineLvl w:val="0"/>
    </w:pPr>
    <w:rPr>
      <w:b/>
      <w:bCs/>
      <w:caps/>
    </w:rPr>
  </w:style>
  <w:style w:type="paragraph" w:styleId="Style17" w:customStyle="1">
    <w:name w:val="[РГ] Подраздел"/>
    <w:basedOn w:val="Normal"/>
    <w:next w:val="Style18"/>
    <w:qFormat/>
    <w:pPr>
      <w:keepNext w:val="true"/>
      <w:numPr>
        <w:ilvl w:val="1"/>
        <w:numId w:val="1"/>
      </w:numPr>
      <w:spacing w:before="360" w:after="0"/>
      <w:jc w:val="both"/>
      <w:outlineLvl w:val="1"/>
    </w:pPr>
    <w:rPr>
      <w:b/>
      <w:bCs/>
    </w:rPr>
  </w:style>
  <w:style w:type="paragraph" w:styleId="Style18" w:customStyle="1">
    <w:name w:val="[РГ] Пункт"/>
    <w:basedOn w:val="Normal"/>
    <w:qFormat/>
    <w:pPr>
      <w:numPr>
        <w:ilvl w:val="2"/>
        <w:numId w:val="1"/>
      </w:numPr>
      <w:jc w:val="both"/>
      <w:outlineLvl w:val="2"/>
    </w:pPr>
    <w:rPr/>
  </w:style>
  <w:style w:type="paragraph" w:styleId="Style19" w:customStyle="1">
    <w:name w:val="[РГ] Подпункт"/>
    <w:basedOn w:val="Normal"/>
    <w:qFormat/>
    <w:pPr>
      <w:numPr>
        <w:ilvl w:val="3"/>
        <w:numId w:val="1"/>
      </w:numPr>
      <w:jc w:val="both"/>
      <w:outlineLvl w:val="3"/>
    </w:pPr>
    <w:rPr/>
  </w:style>
  <w:style w:type="paragraph" w:styleId="Style20" w:customStyle="1">
    <w:name w:val="[РГ] Перечисление"/>
    <w:basedOn w:val="Normal"/>
    <w:qFormat/>
    <w:pPr>
      <w:numPr>
        <w:ilvl w:val="4"/>
        <w:numId w:val="1"/>
      </w:numPr>
      <w:jc w:val="both"/>
      <w:outlineLvl w:val="4"/>
    </w:pPr>
    <w:rPr/>
  </w:style>
  <w:style w:type="paragraph" w:styleId="Style21" w:customStyle="1">
    <w:name w:val="[РГ] Заголовок"/>
    <w:basedOn w:val="Normal"/>
    <w:next w:val="Style22"/>
    <w:qFormat/>
    <w:pPr>
      <w:keepNext w:val="true"/>
      <w:pageBreakBefore/>
      <w:spacing w:before="0" w:after="360"/>
      <w:jc w:val="both"/>
    </w:pPr>
    <w:rPr>
      <w:b/>
      <w:bCs/>
      <w:caps/>
    </w:rPr>
  </w:style>
  <w:style w:type="paragraph" w:styleId="Style22" w:customStyle="1">
    <w:name w:val="[РГ] Текст"/>
    <w:basedOn w:val="Normal"/>
    <w:qFormat/>
    <w:pPr>
      <w:jc w:val="both"/>
    </w:pPr>
    <w:rPr/>
  </w:style>
  <w:style w:type="paragraph" w:styleId="Style23">
    <w:name w:val="Колонтитул"/>
    <w:basedOn w:val="Normal"/>
    <w:qFormat/>
    <w:pPr/>
    <w:rPr/>
  </w:style>
  <w:style w:type="paragraph" w:styleId="Header">
    <w:name w:val="Header"/>
    <w:basedOn w:val="Normal"/>
    <w:link w:val="Style1"/>
    <w:uiPriority w:val="99"/>
    <w:unhideWhenUsed/>
    <w:pPr>
      <w:spacing w:before="0" w:after="120"/>
      <w:jc w:val="center"/>
    </w:pPr>
    <w:rPr/>
  </w:style>
  <w:style w:type="paragraph" w:styleId="Footer">
    <w:name w:val="Footer"/>
    <w:basedOn w:val="Normal"/>
    <w:link w:val="Style2"/>
    <w:uiPriority w:val="99"/>
    <w:unhideWhenUsed/>
    <w:pPr>
      <w:jc w:val="right"/>
    </w:pPr>
    <w:rPr/>
  </w:style>
  <w:style w:type="paragraph" w:styleId="FootnoteText">
    <w:name w:val="Footnote Text"/>
    <w:basedOn w:val="Normal"/>
    <w:link w:val="Style4"/>
    <w:uiPriority w:val="99"/>
    <w:semiHidden/>
    <w:unhideWhenUsed/>
    <w:pPr>
      <w:spacing w:before="0" w:after="0"/>
    </w:pPr>
    <w:rPr>
      <w:sz w:val="20"/>
      <w:szCs w:val="20"/>
    </w:rPr>
  </w:style>
  <w:style w:type="paragraph" w:styleId="Style24" w:customStyle="1">
    <w:name w:val="[РГ] Сноска"/>
    <w:basedOn w:val="FootnoteText"/>
    <w:qFormat/>
    <w:pPr>
      <w:spacing w:before="80" w:after="0"/>
      <w:ind w:left="567" w:hanging="567"/>
      <w:jc w:val="both"/>
    </w:pPr>
    <w:rPr>
      <w:sz w:val="22"/>
    </w:rPr>
  </w:style>
  <w:style w:type="paragraph" w:styleId="TOC2">
    <w:name w:val="TOC 2"/>
    <w:basedOn w:val="Normal"/>
    <w:next w:val="Normal"/>
    <w:uiPriority w:val="39"/>
    <w:unhideWhenUsed/>
    <w:pPr>
      <w:tabs>
        <w:tab w:val="clear" w:pos="708"/>
        <w:tab w:val="left" w:pos="851" w:leader="none"/>
        <w:tab w:val="right" w:pos="9923" w:leader="none"/>
      </w:tabs>
      <w:spacing w:before="120" w:after="120"/>
      <w:ind w:left="851" w:hanging="851"/>
    </w:pPr>
    <w:rPr/>
  </w:style>
  <w:style w:type="paragraph" w:styleId="TOC1">
    <w:name w:val="TOC 1"/>
    <w:basedOn w:val="Normal"/>
    <w:next w:val="Normal"/>
    <w:uiPriority w:val="39"/>
    <w:unhideWhenUsed/>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uiPriority w:val="39"/>
    <w:unhideWhenUsed/>
    <w:pPr>
      <w:spacing w:lineRule="auto" w:line="259" w:before="0" w:after="100"/>
      <w:ind w:left="440" w:hanging="0"/>
    </w:pPr>
    <w:rPr>
      <w:rFonts w:ascii="Calibri" w:hAnsi="Calibri" w:eastAsia="Arial" w:asciiTheme="minorHAnsi" w:eastAsiaTheme="minorEastAsia" w:hAnsiTheme="minorHAnsi"/>
      <w:sz w:val="22"/>
      <w:lang w:eastAsia="ru-RU"/>
    </w:rPr>
  </w:style>
  <w:style w:type="paragraph" w:styleId="TOC4">
    <w:name w:val="TOC 4"/>
    <w:basedOn w:val="Normal"/>
    <w:next w:val="Normal"/>
    <w:uiPriority w:val="39"/>
    <w:unhideWhenUsed/>
    <w:pPr>
      <w:spacing w:lineRule="auto" w:line="259" w:before="0" w:after="100"/>
      <w:ind w:left="660" w:hanging="0"/>
    </w:pPr>
    <w:rPr>
      <w:rFonts w:ascii="Calibri" w:hAnsi="Calibri" w:eastAsia="Arial" w:asciiTheme="minorHAnsi" w:eastAsiaTheme="minorEastAsia" w:hAnsiTheme="minorHAnsi"/>
      <w:sz w:val="22"/>
      <w:lang w:eastAsia="ru-RU"/>
    </w:rPr>
  </w:style>
  <w:style w:type="paragraph" w:styleId="TOC5">
    <w:name w:val="TOC 5"/>
    <w:basedOn w:val="Normal"/>
    <w:next w:val="Normal"/>
    <w:uiPriority w:val="39"/>
    <w:unhideWhenUsed/>
    <w:pPr>
      <w:spacing w:lineRule="auto" w:line="259" w:before="0" w:after="100"/>
      <w:ind w:left="880" w:hanging="0"/>
    </w:pPr>
    <w:rPr>
      <w:rFonts w:ascii="Calibri" w:hAnsi="Calibri" w:eastAsia="Arial" w:asciiTheme="minorHAnsi" w:eastAsiaTheme="minorEastAsia" w:hAnsiTheme="minorHAnsi"/>
      <w:sz w:val="22"/>
      <w:lang w:eastAsia="ru-RU"/>
    </w:rPr>
  </w:style>
  <w:style w:type="paragraph" w:styleId="TOC6">
    <w:name w:val="TOC 6"/>
    <w:basedOn w:val="Normal"/>
    <w:next w:val="Normal"/>
    <w:uiPriority w:val="39"/>
    <w:unhideWhenUsed/>
    <w:pPr>
      <w:spacing w:lineRule="auto" w:line="259" w:before="0" w:after="100"/>
      <w:ind w:left="1100" w:hanging="0"/>
    </w:pPr>
    <w:rPr>
      <w:rFonts w:ascii="Calibri" w:hAnsi="Calibri" w:eastAsia="Arial" w:asciiTheme="minorHAnsi" w:eastAsiaTheme="minorEastAsia" w:hAnsiTheme="minorHAnsi"/>
      <w:sz w:val="22"/>
      <w:lang w:eastAsia="ru-RU"/>
    </w:rPr>
  </w:style>
  <w:style w:type="paragraph" w:styleId="TOC7">
    <w:name w:val="TOC 7"/>
    <w:basedOn w:val="Normal"/>
    <w:next w:val="Normal"/>
    <w:uiPriority w:val="39"/>
    <w:unhideWhenUsed/>
    <w:pPr>
      <w:spacing w:lineRule="auto" w:line="259" w:before="0" w:after="100"/>
      <w:ind w:left="1320" w:hanging="0"/>
    </w:pPr>
    <w:rPr>
      <w:rFonts w:ascii="Calibri" w:hAnsi="Calibri" w:eastAsia="Arial" w:asciiTheme="minorHAnsi" w:eastAsiaTheme="minorEastAsia" w:hAnsiTheme="minorHAnsi"/>
      <w:sz w:val="22"/>
      <w:lang w:eastAsia="ru-RU"/>
    </w:rPr>
  </w:style>
  <w:style w:type="paragraph" w:styleId="TOC8">
    <w:name w:val="TOC 8"/>
    <w:basedOn w:val="Normal"/>
    <w:next w:val="Normal"/>
    <w:uiPriority w:val="39"/>
    <w:unhideWhenUsed/>
    <w:pPr>
      <w:spacing w:lineRule="auto" w:line="259" w:before="0" w:after="100"/>
      <w:ind w:left="1540" w:hanging="0"/>
    </w:pPr>
    <w:rPr>
      <w:rFonts w:ascii="Calibri" w:hAnsi="Calibri" w:eastAsia="Arial" w:asciiTheme="minorHAnsi" w:eastAsiaTheme="minorEastAsia" w:hAnsiTheme="minorHAnsi"/>
      <w:sz w:val="22"/>
      <w:lang w:eastAsia="ru-RU"/>
    </w:rPr>
  </w:style>
  <w:style w:type="paragraph" w:styleId="TOC9">
    <w:name w:val="TOC 9"/>
    <w:basedOn w:val="Normal"/>
    <w:next w:val="Normal"/>
    <w:uiPriority w:val="39"/>
    <w:unhideWhenUsed/>
    <w:pPr>
      <w:spacing w:lineRule="auto" w:line="259" w:before="0" w:after="100"/>
      <w:ind w:left="1760" w:hanging="0"/>
    </w:pPr>
    <w:rPr>
      <w:rFonts w:ascii="Calibri" w:hAnsi="Calibri" w:eastAsia="Arial" w:asciiTheme="minorHAnsi" w:eastAsiaTheme="minorEastAsia" w:hAnsiTheme="minorHAnsi"/>
      <w:sz w:val="22"/>
      <w:lang w:eastAsia="ru-RU"/>
    </w:rPr>
  </w:style>
  <w:style w:type="paragraph" w:styleId="Annotationtext">
    <w:name w:val="annotation text"/>
    <w:basedOn w:val="Normal"/>
    <w:link w:val="Style7"/>
    <w:uiPriority w:val="99"/>
    <w:unhideWhenUsed/>
    <w:qFormat/>
    <w:pPr/>
    <w:rPr>
      <w:sz w:val="20"/>
      <w:szCs w:val="20"/>
    </w:rPr>
  </w:style>
  <w:style w:type="paragraph" w:styleId="Annotationsubject">
    <w:name w:val="annotation subject"/>
    <w:basedOn w:val="Annotationtext"/>
    <w:next w:val="Annotationtext"/>
    <w:link w:val="Style8"/>
    <w:uiPriority w:val="99"/>
    <w:semiHidden/>
    <w:unhideWhenUsed/>
    <w:qFormat/>
    <w:pPr/>
    <w:rPr>
      <w:b/>
      <w:bCs/>
    </w:rPr>
  </w:style>
  <w:style w:type="paragraph" w:styleId="Style25" w:customStyle="1">
    <w:name w:val="[РГ] Альтернатива / Дополнение"/>
    <w:basedOn w:val="Style22"/>
    <w:next w:val="Style22"/>
    <w:qFormat/>
    <w:pPr/>
    <w:rPr>
      <w:i/>
      <w:shd w:fill="CCECFF" w:val="clear"/>
    </w:rPr>
  </w:style>
  <w:style w:type="paragraph" w:styleId="Revision">
    <w:name w:val="Revision"/>
    <w:uiPriority w:val="99"/>
    <w:semiHidden/>
    <w:qFormat/>
    <w:pPr>
      <w:widowControl/>
      <w:suppressAutoHyphens w:val="true"/>
      <w:bidi w:val="0"/>
      <w:spacing w:lineRule="auto" w:line="240" w:beforeAutospacing="0" w:before="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ListParagraph">
    <w:name w:val="List Paragraph"/>
    <w:basedOn w:val="Normal"/>
    <w:uiPriority w:val="34"/>
    <w:qFormat/>
    <w:pPr>
      <w:spacing w:before="120" w:after="0"/>
      <w:ind w:left="720" w:hanging="0"/>
      <w:contextualSpacing/>
    </w:pPr>
    <w:rPr/>
  </w:style>
  <w:style w:type="paragraph" w:styleId="BalloonText">
    <w:name w:val="Balloon Text"/>
    <w:basedOn w:val="Normal"/>
    <w:link w:val="Style10"/>
    <w:uiPriority w:val="99"/>
    <w:semiHidden/>
    <w:unhideWhenUsed/>
    <w:qFormat/>
    <w:pPr>
      <w:spacing w:before="0" w:after="0"/>
    </w:pPr>
    <w:rPr>
      <w:rFonts w:ascii="Segoe UI" w:hAnsi="Segoe UI" w:cs="Segoe UI"/>
      <w:sz w:val="18"/>
      <w:szCs w:val="18"/>
    </w:rPr>
  </w:style>
  <w:style w:type="paragraph" w:styleId="1" w:customStyle="1">
    <w:name w:val="РГ_ЕПоЗ_1."/>
    <w:basedOn w:val="Normal"/>
    <w:qFormat/>
    <w:pPr>
      <w:keepNext w:val="true"/>
      <w:numPr>
        <w:ilvl w:val="0"/>
        <w:numId w:val="18"/>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 w:customStyle="1">
    <w:name w:val="РГ_ЕПоЗ_1.1"/>
    <w:basedOn w:val="Normal"/>
    <w:qFormat/>
    <w:pPr>
      <w:keepNext w:val="true"/>
      <w:numPr>
        <w:ilvl w:val="1"/>
        <w:numId w:val="18"/>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26" w:customStyle="1">
    <w:name w:val="РГ_ЕПоЗ_а)"/>
    <w:basedOn w:val="ListParagraph"/>
    <w:link w:val="Style11"/>
    <w:qFormat/>
    <w:pPr>
      <w:numPr>
        <w:ilvl w:val="4"/>
        <w:numId w:val="18"/>
      </w:numPr>
      <w:spacing w:before="120" w:after="0"/>
      <w:contextualSpacing w:val="false"/>
      <w:jc w:val="both"/>
    </w:pPr>
    <w:rPr>
      <w:rFonts w:eastAsia="Calibri" w:cs="Times New Roman"/>
      <w:sz w:val="28"/>
      <w:szCs w:val="28"/>
    </w:rPr>
  </w:style>
  <w:style w:type="paragraph" w:styleId="-1" w:customStyle="1">
    <w:name w:val="РГ_ЕПоЗ_-"/>
    <w:basedOn w:val="Normal"/>
    <w:link w:val="-"/>
    <w:qFormat/>
    <w:pPr>
      <w:numPr>
        <w:ilvl w:val="5"/>
        <w:numId w:val="18"/>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pPr>
      <w:numPr>
        <w:ilvl w:val="2"/>
        <w:numId w:val="18"/>
      </w:numPr>
      <w:tabs>
        <w:tab w:val="clear" w:pos="708"/>
        <w:tab w:val="left" w:pos="1134" w:leader="none"/>
      </w:tabs>
      <w:jc w:val="both"/>
    </w:pPr>
    <w:rPr>
      <w:rFonts w:eastAsia="Times New Roman" w:cs="Times New Roman"/>
      <w:sz w:val="28"/>
      <w:szCs w:val="28"/>
      <w:lang w:eastAsia="ru-RU"/>
    </w:rPr>
  </w:style>
  <w:style w:type="paragraph" w:styleId="Tableheader" w:customStyle="1">
    <w:name w:val="Table_header"/>
    <w:qFormat/>
    <w:pPr>
      <w:keepNext w:val="false"/>
      <w:keepLines w:val="false"/>
      <w:pageBreakBefore w:val="false"/>
      <w:widowControl/>
      <w:shd w:val="nil"/>
      <w:suppressAutoHyphens w:val="true"/>
      <w:bidi w:val="0"/>
      <w:spacing w:lineRule="auto" w:line="240" w:beforeAutospacing="0" w:before="120" w:afterAutospacing="0" w:after="0"/>
      <w:ind w:left="0" w:right="0" w:hanging="0"/>
      <w:jc w:val="both"/>
    </w:pPr>
    <w:rPr>
      <w:rFonts w:ascii="Times New Roman" w:hAnsi="Times New Roman" w:eastAsia="Times New Roman" w:cs="Times New Roman"/>
      <w:b/>
      <w:bCs w:val="false"/>
      <w:i w:val="false"/>
      <w:iCs w:val="false"/>
      <w:caps w:val="false"/>
      <w:smallCaps w:val="false"/>
      <w:strike w:val="false"/>
      <w:dstrike w:val="false"/>
      <w:vanish w:val="false"/>
      <w:color w:val="auto"/>
      <w:spacing w:val="0"/>
      <w:kern w:val="0"/>
      <w:position w:val="0"/>
      <w:sz w:val="20"/>
      <w:sz w:val="20"/>
      <w:szCs w:val="24"/>
      <w:u w:val="none"/>
      <w:vertAlign w:val="baseline"/>
      <w:lang w:val="ru-RU" w:eastAsia="ru-RU" w:bidi="ar-SA"/>
      <w14:ligatures w14:val="none"/>
    </w:rPr>
  </w:style>
  <w:style w:type="paragraph" w:styleId="3" w:customStyle="1">
    <w:name w:val="УРОВЕНЬ_Абзац_тип3"/>
    <w:qFormat/>
    <w:pPr>
      <w:keepNext w:val="false"/>
      <w:keepLines w:val="false"/>
      <w:pageBreakBefore w:val="false"/>
      <w:widowControl/>
      <w:numPr>
        <w:ilvl w:val="0"/>
        <w:numId w:val="0"/>
      </w:numPr>
      <w:shd w:val="nil"/>
      <w:suppressAutoHyphens w:val="true"/>
      <w:bidi w:val="0"/>
      <w:spacing w:lineRule="exact" w:line="360" w:beforeAutospacing="0" w:before="120" w:afterAutospacing="0" w:after="0"/>
      <w:ind w:left="0" w:right="0" w:hanging="0"/>
      <w:jc w:val="both"/>
    </w:pPr>
    <w:rPr>
      <w:rFonts w:ascii="Times New Roman" w:hAnsi="Times New Roman" w:eastAsia="Calibri" w:cs="Times New Roman" w:eastAsiaTheme="minorHAnsi"/>
      <w:b w:val="false"/>
      <w:bCs w:val="false"/>
      <w:i w:val="false"/>
      <w:iCs w:val="false"/>
      <w:caps w:val="false"/>
      <w:smallCaps w:val="false"/>
      <w:strike w:val="false"/>
      <w:dstrike w:val="false"/>
      <w:vanish w:val="false"/>
      <w:color w:val="auto"/>
      <w:spacing w:val="0"/>
      <w:kern w:val="0"/>
      <w:position w:val="0"/>
      <w:sz w:val="26"/>
      <w:sz w:val="26"/>
      <w:szCs w:val="28"/>
      <w:u w:val="none"/>
      <w:vertAlign w:val="baseline"/>
      <w:lang w:val="ru-RU" w:eastAsia="en-US" w:bidi="ar-SA"/>
      <w14:ligatures w14:val="none"/>
    </w:rPr>
  </w:style>
  <w:style w:type="paragraph" w:styleId="Standard" w:customStyle="1">
    <w:name w:val="Standard"/>
    <w:qFormat/>
    <w:pPr>
      <w:keepNext w:val="false"/>
      <w:keepLines w:val="false"/>
      <w:pageBreakBefore w:val="false"/>
      <w:widowControl/>
      <w:shd w:val="nil"/>
      <w:suppressAutoHyphens w:val="true"/>
      <w:bidi w:val="0"/>
      <w:spacing w:lineRule="auto" w:line="240" w:beforeAutospacing="0" w:before="0" w:afterAutospacing="0" w:after="0"/>
      <w:ind w:left="0" w:right="0" w:hanging="0"/>
      <w:jc w:val="left"/>
    </w:pPr>
    <w:rPr>
      <w:rFonts w:ascii="Liberation Serif" w:hAnsi="Liberation Serif" w:eastAsia="Arial Unicode MS" w:cs="Arial Unicode MS"/>
      <w:b w:val="false"/>
      <w:bCs w:val="false"/>
      <w:i w:val="false"/>
      <w:iCs w:val="false"/>
      <w:caps w:val="false"/>
      <w:smallCaps w:val="false"/>
      <w:strike w:val="false"/>
      <w:dstrike w:val="false"/>
      <w:vanish w:val="false"/>
      <w:color w:val="auto"/>
      <w:spacing w:val="0"/>
      <w:kern w:val="0"/>
      <w:position w:val="0"/>
      <w:sz w:val="24"/>
      <w:sz w:val="24"/>
      <w:szCs w:val="24"/>
      <w:u w:val="none"/>
      <w:vertAlign w:val="baseline"/>
      <w:lang w:val="ru-RU" w:eastAsia="zh-CN" w:bidi="hi-IN"/>
      <w14:ligatures w14:val="none"/>
    </w:rPr>
  </w:style>
  <w:style w:type="paragraph" w:styleId="Style27" w:customStyle="1">
    <w:name w:val="УРОВЕНЬ_(а)"/>
    <w:qFormat/>
    <w:pPr>
      <w:keepNext w:val="false"/>
      <w:keepLines w:val="false"/>
      <w:pageBreakBefore w:val="false"/>
      <w:widowControl/>
      <w:numPr>
        <w:ilvl w:val="3"/>
        <w:numId w:val="21"/>
      </w:numPr>
      <w:shd w:val="nil"/>
      <w:tabs>
        <w:tab w:val="clear" w:pos="708"/>
        <w:tab w:val="left" w:pos="360" w:leader="none"/>
      </w:tabs>
      <w:suppressAutoHyphens w:val="true"/>
      <w:bidi w:val="0"/>
      <w:spacing w:lineRule="exact" w:line="360" w:beforeAutospacing="0" w:before="120" w:afterAutospacing="0" w:after="0"/>
      <w:ind w:left="720" w:right="0" w:firstLine="567"/>
      <w:jc w:val="both"/>
      <w:outlineLvl w:val="3"/>
    </w:pPr>
    <w:rPr>
      <w:rFonts w:ascii="Times New Roman" w:hAnsi="Times New Roman" w:eastAsia="Calibri" w:cs="Times New Roman" w:eastAsiaTheme="minorHAnsi"/>
      <w:b w:val="false"/>
      <w:bCs w:val="false"/>
      <w:i w:val="false"/>
      <w:iCs w:val="false"/>
      <w:caps w:val="false"/>
      <w:smallCaps w:val="false"/>
      <w:strike w:val="false"/>
      <w:dstrike w:val="false"/>
      <w:vanish w:val="false"/>
      <w:color w:val="auto"/>
      <w:spacing w:val="0"/>
      <w:kern w:val="0"/>
      <w:position w:val="0"/>
      <w:sz w:val="26"/>
      <w:sz w:val="26"/>
      <w:szCs w:val="28"/>
      <w:u w:val="none"/>
      <w:vertAlign w:val="baseline"/>
      <w:lang w:val="ru-RU" w:eastAsia="en-US" w:bidi="ar-SA"/>
      <w14:ligatures w14:val="none"/>
    </w:rPr>
  </w:style>
  <w:style w:type="paragraph" w:styleId="-2" w:customStyle="1">
    <w:name w:val="УРОВЕНЬ_-"/>
    <w:qFormat/>
    <w:pPr>
      <w:keepNext w:val="false"/>
      <w:keepLines w:val="false"/>
      <w:pageBreakBefore w:val="false"/>
      <w:widowControl/>
      <w:numPr>
        <w:ilvl w:val="4"/>
        <w:numId w:val="21"/>
      </w:numPr>
      <w:shd w:val="nil"/>
      <w:suppressAutoHyphens w:val="true"/>
      <w:bidi w:val="0"/>
      <w:spacing w:lineRule="exact" w:line="360" w:beforeAutospacing="0" w:before="120" w:afterAutospacing="0" w:after="0"/>
      <w:ind w:left="2268" w:right="0" w:hanging="567"/>
      <w:jc w:val="both"/>
      <w:outlineLvl w:val="4"/>
    </w:pPr>
    <w:rPr>
      <w:rFonts w:ascii="Times New Roman" w:hAnsi="Times New Roman" w:eastAsia="Calibri" w:cs="Times New Roman" w:eastAsiaTheme="minorHAnsi"/>
      <w:b w:val="false"/>
      <w:bCs w:val="false"/>
      <w:i w:val="false"/>
      <w:iCs w:val="false"/>
      <w:caps w:val="false"/>
      <w:smallCaps w:val="false"/>
      <w:strike w:val="false"/>
      <w:dstrike w:val="false"/>
      <w:vanish w:val="false"/>
      <w:color w:val="auto"/>
      <w:spacing w:val="0"/>
      <w:kern w:val="0"/>
      <w:position w:val="0"/>
      <w:sz w:val="26"/>
      <w:sz w:val="26"/>
      <w:szCs w:val="28"/>
      <w:u w:val="none"/>
      <w:vertAlign w:val="baseline"/>
      <w:lang w:val="ru-RU" w:eastAsia="en-US" w:bidi="ar-SA"/>
      <w14:ligatures w14:val="none"/>
    </w:rPr>
  </w:style>
  <w:style w:type="paragraph" w:styleId="Style28" w:customStyle="1">
    <w:name w:val="УРОВЕНЬ_Подпись"/>
    <w:qFormat/>
    <w:pPr>
      <w:keepNext w:val="true"/>
      <w:keepLines w:val="false"/>
      <w:pageBreakBefore w:val="false"/>
      <w:widowControl/>
      <w:numPr>
        <w:ilvl w:val="5"/>
        <w:numId w:val="21"/>
      </w:numPr>
      <w:shd w:val="nil"/>
      <w:tabs>
        <w:tab w:val="clear" w:pos="708"/>
        <w:tab w:val="left" w:pos="360" w:leader="none"/>
      </w:tabs>
      <w:suppressAutoHyphens w:val="true"/>
      <w:bidi w:val="0"/>
      <w:spacing w:lineRule="exact" w:line="360" w:beforeAutospacing="0" w:before="120" w:afterAutospacing="0" w:after="120"/>
      <w:ind w:left="720" w:right="0" w:firstLine="567"/>
      <w:jc w:val="right"/>
      <w:outlineLvl w:val="3"/>
    </w:pPr>
    <w:rPr>
      <w:rFonts w:ascii="Times New Roman" w:hAnsi="Times New Roman" w:eastAsia="Calibri" w:cs="Times New Roman" w:eastAsiaTheme="minorHAnsi"/>
      <w:b w:val="false"/>
      <w:bCs w:val="false"/>
      <w:i w:val="false"/>
      <w:iCs w:val="false"/>
      <w:caps w:val="false"/>
      <w:smallCaps w:val="false"/>
      <w:strike w:val="false"/>
      <w:dstrike w:val="false"/>
      <w:vanish w:val="false"/>
      <w:color w:val="auto"/>
      <w:spacing w:val="0"/>
      <w:kern w:val="0"/>
      <w:position w:val="0"/>
      <w:sz w:val="26"/>
      <w:sz w:val="26"/>
      <w:szCs w:val="28"/>
      <w:u w:val="none"/>
      <w:vertAlign w:val="baseline"/>
      <w:lang w:val="ru-RU" w:eastAsia="en-US" w:bidi="ar-SA"/>
      <w14:ligatures w14:val="none"/>
    </w:rPr>
  </w:style>
  <w:style w:type="paragraph" w:styleId="2" w:customStyle="1">
    <w:name w:val="УРОВЕНЬ_Абзац_тип2"/>
    <w:qFormat/>
    <w:pPr>
      <w:keepNext w:val="false"/>
      <w:keepLines w:val="false"/>
      <w:pageBreakBefore w:val="false"/>
      <w:widowControl/>
      <w:numPr>
        <w:ilvl w:val="6"/>
        <w:numId w:val="21"/>
      </w:numPr>
      <w:shd w:val="nil"/>
      <w:suppressAutoHyphens w:val="true"/>
      <w:bidi w:val="0"/>
      <w:spacing w:lineRule="exact" w:line="360" w:beforeAutospacing="0" w:before="120" w:afterAutospacing="0" w:after="0"/>
      <w:ind w:left="1701" w:right="0" w:hanging="0"/>
      <w:jc w:val="both"/>
    </w:pPr>
    <w:rPr>
      <w:rFonts w:ascii="Times New Roman" w:hAnsi="Times New Roman" w:eastAsia="Calibri" w:cs="Times New Roman" w:eastAsiaTheme="minorHAnsi"/>
      <w:b w:val="false"/>
      <w:bCs w:val="false"/>
      <w:i w:val="false"/>
      <w:iCs w:val="false"/>
      <w:caps w:val="false"/>
      <w:smallCaps w:val="false"/>
      <w:strike w:val="false"/>
      <w:dstrike w:val="false"/>
      <w:vanish w:val="false"/>
      <w:color w:val="auto"/>
      <w:spacing w:val="0"/>
      <w:kern w:val="0"/>
      <w:position w:val="0"/>
      <w:sz w:val="26"/>
      <w:sz w:val="26"/>
      <w:szCs w:val="28"/>
      <w:u w:val="none"/>
      <w:vertAlign w:val="baseline"/>
      <w:lang w:val="ru-RU" w:eastAsia="en-US" w:bidi="ar-SA"/>
      <w14:ligatures w14:val="none"/>
    </w:rPr>
  </w:style>
  <w:style w:type="paragraph" w:styleId="Footnote" w:customStyle="1">
    <w:name w:val="Footnote"/>
    <w:qFormat/>
    <w:pPr>
      <w:keepNext w:val="false"/>
      <w:keepLines w:val="false"/>
      <w:pageBreakBefore w:val="false"/>
      <w:widowControl/>
      <w:suppressLineNumbers/>
      <w:shd w:val="nil"/>
      <w:suppressAutoHyphens w:val="true"/>
      <w:bidi w:val="0"/>
      <w:spacing w:lineRule="auto" w:line="240" w:beforeAutospacing="0" w:before="0" w:afterAutospacing="0" w:after="0"/>
      <w:ind w:left="340" w:right="0" w:hanging="340"/>
      <w:jc w:val="left"/>
    </w:pPr>
    <w:rPr>
      <w:rFonts w:ascii="Liberation Serif" w:hAnsi="Liberation Serif" w:eastAsia="NSimSun" w:cs="Mangal"/>
      <w:b w:val="false"/>
      <w:bCs w:val="false"/>
      <w:i w:val="false"/>
      <w:iCs w:val="false"/>
      <w:caps w:val="false"/>
      <w:smallCaps w:val="false"/>
      <w:strike w:val="false"/>
      <w:dstrike w:val="false"/>
      <w:vanish w:val="false"/>
      <w:color w:val="auto"/>
      <w:spacing w:val="0"/>
      <w:kern w:val="0"/>
      <w:position w:val="0"/>
      <w:sz w:val="20"/>
      <w:sz w:val="20"/>
      <w:szCs w:val="20"/>
      <w:u w:val="none"/>
      <w:vertAlign w:val="baseline"/>
      <w:lang w:val="ru-RU" w:eastAsia="zh-CN" w:bidi="hi-IN"/>
      <w14:ligatures w14:val="none"/>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numbering" w:styleId="NoList" w:default="1">
    <w:name w:val="No List"/>
    <w:uiPriority w:val="99"/>
    <w:semiHidden/>
    <w:unhideWhenUsed/>
    <w:qFormat/>
  </w:style>
  <w:style w:type="table" w:styleId="1392">
    <w:name w:val="Table Grid Light"/>
    <w:basedOn w:val="1517"/>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393">
    <w:name w:val="Plain Table 1"/>
    <w:basedOn w:val="1517"/>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0"/>
      </w:tcPr>
    </w:tblStylePr>
    <w:tblStylePr w:type="band1Vert">
      <w:tblPr/>
      <w:tcPr>
        <w:shd w:val="clear" w:color="FFFFFF" w:fill="F2F2F2" w:themeFill="text1" w:themeFillTint="0"/>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1394">
    <w:name w:val="Plain Table 2"/>
    <w:basedOn w:val="1517"/>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1395">
    <w:name w:val="Plain Table 3"/>
    <w:basedOn w:val="1517"/>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0"/>
      </w:tcPr>
    </w:tblStylePr>
    <w:tblStylePr w:type="band1Vert">
      <w:rPr>
        <w:color w:val="404040"/>
        <w:sz w:val="22"/>
      </w:rPr>
      <w:tblPr/>
      <w:tcPr>
        <w:shd w:val="clear" w:color="FFFFFF" w:fill="F2F2F2" w:themeFill="text1" w:themeFillTint="0"/>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1396">
    <w:name w:val="Plain Table 4"/>
    <w:basedOn w:val="1517"/>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0"/>
      </w:tcPr>
    </w:tblStylePr>
    <w:tblStylePr w:type="band1Vert">
      <w:rPr>
        <w:color w:val="404040"/>
        <w:sz w:val="22"/>
      </w:rPr>
      <w:tblPr/>
      <w:tcPr>
        <w:shd w:val="clear" w:color="FFFFFF" w:fill="F2F2F2" w:themeFill="text1" w:themeFillTint="0"/>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1397">
    <w:name w:val="Plain Table 5"/>
    <w:basedOn w:val="1517"/>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0"/>
      </w:tcPr>
    </w:tblStylePr>
    <w:tblStylePr w:type="band1Vert">
      <w:rPr>
        <w:color w:val="404040"/>
        <w:sz w:val="22"/>
      </w:rPr>
      <w:tblPr/>
      <w:tcPr>
        <w:shd w:val="clear" w:color="FFFFFF" w:fill="F2F2F2" w:themeFill="text1" w:themeFillTint="0"/>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1398">
    <w:name w:val="Grid Table 1 Light"/>
    <w:basedOn w:val="1517"/>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1399">
    <w:name w:val="Grid Table 1 Light - Accent 1"/>
    <w:basedOn w:val="1517"/>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1400">
    <w:name w:val="Grid Table 1 Light - Accent 2"/>
    <w:basedOn w:val="1517"/>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1401">
    <w:name w:val="Grid Table 1 Light - Accent 3"/>
    <w:basedOn w:val="1517"/>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1402">
    <w:name w:val="Grid Table 1 Light - Accent 4"/>
    <w:basedOn w:val="1517"/>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1403">
    <w:name w:val="Grid Table 1 Light - Accent 5"/>
    <w:basedOn w:val="1517"/>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1404">
    <w:name w:val="Grid Table 1 Light - Accent 6"/>
    <w:basedOn w:val="1517"/>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1405">
    <w:name w:val="Grid Table 2"/>
    <w:basedOn w:val="1517"/>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1406">
    <w:name w:val="Grid Table 2 - Accent 1"/>
    <w:basedOn w:val="1517"/>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1407">
    <w:name w:val="Grid Table 2 - Accent 2"/>
    <w:basedOn w:val="1517"/>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1408">
    <w:name w:val="Grid Table 2 - Accent 3"/>
    <w:basedOn w:val="1517"/>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1409">
    <w:name w:val="Grid Table 2 - Accent 4"/>
    <w:basedOn w:val="1517"/>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1410">
    <w:name w:val="Grid Table 2 - Accent 5"/>
    <w:basedOn w:val="1517"/>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1411">
    <w:name w:val="Grid Table 2 - Accent 6"/>
    <w:basedOn w:val="1517"/>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1412">
    <w:name w:val="Grid Table 3"/>
    <w:basedOn w:val="1517"/>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3">
    <w:name w:val="Grid Table 3 - Accent 1"/>
    <w:basedOn w:val="1517"/>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4">
    <w:name w:val="Grid Table 3 - Accent 2"/>
    <w:basedOn w:val="1517"/>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5">
    <w:name w:val="Grid Table 3 - Accent 3"/>
    <w:basedOn w:val="1517"/>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6">
    <w:name w:val="Grid Table 3 - Accent 4"/>
    <w:basedOn w:val="1517"/>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7">
    <w:name w:val="Grid Table 3 - Accent 5"/>
    <w:basedOn w:val="1517"/>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8">
    <w:name w:val="Grid Table 3 - Accent 6"/>
    <w:basedOn w:val="1517"/>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419">
    <w:name w:val="Grid Table 4"/>
    <w:basedOn w:val="1517"/>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1420">
    <w:name w:val="Grid Table 4 - Accent 1"/>
    <w:basedOn w:val="1517"/>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AE3F3" w:themeFill="accent1" w:themeFillTint="32"/>
      </w:tcPr>
    </w:tblStylePr>
    <w:tblStylePr w:type="band1Vert">
      <w:rPr>
        <w:color w:val="404040"/>
        <w:sz w:val="22"/>
      </w:rPr>
      <w:tblPr/>
      <w:tcPr>
        <w:shd w:val="clear" w:color="FFFFFF" w:fill="DAE3F3"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37FC8"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1421">
    <w:name w:val="Grid Table 4 - Accent 2"/>
    <w:basedOn w:val="1517"/>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185"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1422">
    <w:name w:val="Grid Table 4 - Accent 3"/>
    <w:basedOn w:val="1517"/>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1423">
    <w:name w:val="Grid Table 4 - Accent 4"/>
    <w:basedOn w:val="1517"/>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864"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1424">
    <w:name w:val="Grid Table 4 - Accent 5"/>
    <w:basedOn w:val="1517"/>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5B9BD5"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1425">
    <w:name w:val="Grid Table 4 - Accent 6"/>
    <w:basedOn w:val="1517"/>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1426">
    <w:name w:val="Grid Table 5 Dark"/>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1427">
    <w:name w:val="Grid Table 5 Dark- Accent 1"/>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ABFE3" w:themeFill="accent1" w:themeFillTint="75"/>
      </w:tcPr>
    </w:tblStylePr>
    <w:tblStylePr w:type="band1Vert">
      <w:tblPr/>
      <w:tcPr>
        <w:shd w:val="clear" w:color="FFFFFF" w:fill="AABFE3" w:themeFill="accent1" w:themeFillTint="75"/>
      </w:tcPr>
    </w:tblStylePr>
    <w:tblStylePr w:type="firstCol">
      <w:rPr>
        <w:b/>
        <w:color w:val="FFFFFF"/>
        <w:sz w:val="22"/>
      </w:rPr>
      <w:tblPr/>
      <w:tcPr>
        <w:shd w:val="clear" w:color="FFFFFF" w:fill="4472C4" w:themeFill="accent1"/>
      </w:tcPr>
    </w:tblStylePr>
    <w:tblStylePr w:type="firstRow">
      <w:rPr>
        <w:b/>
        <w:color w:val="FFFFFF"/>
        <w:sz w:val="22"/>
      </w:rPr>
      <w:tblPr/>
      <w:tcPr>
        <w:shd w:val="clear" w:color="FFFFFF" w:fill="4472C4" w:themeFill="accent1"/>
      </w:tcPr>
    </w:tblStylePr>
    <w:tblStylePr w:type="lastCol">
      <w:rPr>
        <w:b/>
        <w:color w:val="FFFFFF"/>
        <w:sz w:val="22"/>
      </w:rPr>
      <w:tblPr/>
      <w:tcPr>
        <w:shd w:val="clear" w:color="FFFFFF" w:fill="4472C4" w:themeFill="accent1"/>
      </w:tcPr>
    </w:tblStylePr>
    <w:tblStylePr w:type="lastRow">
      <w:rPr>
        <w:b/>
        <w:color w:val="FFFFFF"/>
        <w:sz w:val="22"/>
      </w:rPr>
      <w:tblPr/>
      <w:tcPr>
        <w:tcBorders>
          <w:top w:val="single" w:color="000000" w:themeColor="light1" w:sz="4" w:space="0"/>
        </w:tcBorders>
        <w:shd w:val="clear" w:color="FFFFFF" w:fill="4472C4" w:themeFill="accent1"/>
      </w:tcPr>
    </w:tblStylePr>
  </w:style>
  <w:style w:type="table" w:styleId="1428">
    <w:name w:val="Grid Table 5 Dark - Accent 2"/>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6C3A1" w:themeFill="accent2" w:themeFillTint="75"/>
      </w:tcPr>
    </w:tblStylePr>
    <w:tblStylePr w:type="band1Vert">
      <w:tblPr/>
      <w:tcPr>
        <w:shd w:val="clear" w:color="FFFFFF" w:fill="F6C3A1" w:themeFill="accent2" w:themeFillTint="75"/>
      </w:tcPr>
    </w:tblStylePr>
    <w:tblStylePr w:type="firstCol">
      <w:rPr>
        <w:b/>
        <w:color w:val="FFFFFF"/>
        <w:sz w:val="22"/>
      </w:rPr>
      <w:tblPr/>
      <w:tcPr>
        <w:shd w:val="clear" w:color="FFFFFF" w:fill="ED7D31" w:themeFill="accent2"/>
      </w:tcPr>
    </w:tblStylePr>
    <w:tblStylePr w:type="firstRow">
      <w:rPr>
        <w:b/>
        <w:color w:val="FFFFFF"/>
        <w:sz w:val="22"/>
      </w:rPr>
      <w:tblPr/>
      <w:tcPr>
        <w:shd w:val="clear" w:color="FFFFFF" w:fill="ED7D31" w:themeFill="accent2"/>
      </w:tcPr>
    </w:tblStylePr>
    <w:tblStylePr w:type="lastCol">
      <w:rPr>
        <w:b/>
        <w:color w:val="FFFFFF"/>
        <w:sz w:val="22"/>
      </w:rPr>
      <w:tblPr/>
      <w:tcPr>
        <w:shd w:val="clear" w:color="FFFFFF" w:fill="ED7D31" w:themeFill="accent2"/>
      </w:tcPr>
    </w:tblStylePr>
    <w:tblStylePr w:type="lastRow">
      <w:rPr>
        <w:b/>
        <w:color w:val="FFFFFF"/>
        <w:sz w:val="22"/>
      </w:rPr>
      <w:tblPr/>
      <w:tcPr>
        <w:tcBorders>
          <w:top w:val="single" w:color="000000" w:themeColor="light1" w:sz="4" w:space="0"/>
        </w:tcBorders>
        <w:shd w:val="clear" w:color="FFFFFF" w:fill="ED7D31" w:themeFill="accent2"/>
      </w:tcPr>
    </w:tblStylePr>
  </w:style>
  <w:style w:type="table" w:styleId="1429">
    <w:name w:val="Grid Table 5 Dark - Accent 3"/>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firstCol">
      <w:rPr>
        <w:b/>
        <w:color w:val="FFFFFF"/>
        <w:sz w:val="22"/>
      </w:rPr>
      <w:tblPr/>
      <w:tcPr>
        <w:shd w:val="clear" w:color="FFFFFF" w:fill="A5A5A5" w:themeFill="accent3"/>
      </w:tcPr>
    </w:tblStylePr>
    <w:tblStylePr w:type="firstRow">
      <w:rPr>
        <w:b/>
        <w:color w:val="FFFFFF"/>
        <w:sz w:val="22"/>
      </w:rPr>
      <w:tblPr/>
      <w:tcPr>
        <w:shd w:val="clear" w:color="FFFFFF" w:fill="A5A5A5" w:themeFill="accent3"/>
      </w:tcPr>
    </w:tblStylePr>
    <w:tblStylePr w:type="lastCol">
      <w:rPr>
        <w:b/>
        <w:color w:val="FFFFFF"/>
        <w:sz w:val="22"/>
      </w:rPr>
      <w:tblPr/>
      <w:tcPr>
        <w:shd w:val="clear" w:color="FFFFFF" w:fill="A5A5A5" w:themeFill="accent3"/>
      </w:tcPr>
    </w:tblStylePr>
    <w:tblStylePr w:type="lastRow">
      <w:rPr>
        <w:b/>
        <w:color w:val="FFFFFF"/>
        <w:sz w:val="22"/>
      </w:rPr>
      <w:tblPr/>
      <w:tcPr>
        <w:tcBorders>
          <w:top w:val="single" w:color="000000" w:themeColor="light1" w:sz="4" w:space="0"/>
        </w:tcBorders>
        <w:shd w:val="clear" w:color="FFFFFF" w:fill="A5A5A5" w:themeFill="accent3"/>
      </w:tcPr>
    </w:tblStylePr>
  </w:style>
  <w:style w:type="table" w:styleId="1430">
    <w:name w:val="Grid Table 5 Dark- Accent 4"/>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EE189" w:themeFill="accent4" w:themeFillTint="75"/>
      </w:tcPr>
    </w:tblStylePr>
    <w:tblStylePr w:type="band1Vert">
      <w:tblPr/>
      <w:tcPr>
        <w:shd w:val="clear" w:color="FFFFFF" w:fill="FEE189" w:themeFill="accent4" w:themeFillTint="75"/>
      </w:tcPr>
    </w:tblStylePr>
    <w:tblStylePr w:type="firstCol">
      <w:rPr>
        <w:b/>
        <w:color w:val="FFFFFF"/>
        <w:sz w:val="22"/>
      </w:rPr>
      <w:tblPr/>
      <w:tcPr>
        <w:shd w:val="clear" w:color="FFFFFF" w:fill="FFC000" w:themeFill="accent4"/>
      </w:tcPr>
    </w:tblStylePr>
    <w:tblStylePr w:type="firstRow">
      <w:rPr>
        <w:b/>
        <w:color w:val="FFFFFF"/>
        <w:sz w:val="22"/>
      </w:rPr>
      <w:tblPr/>
      <w:tcPr>
        <w:shd w:val="clear" w:color="FFFFFF" w:fill="FFC000" w:themeFill="accent4"/>
      </w:tcPr>
    </w:tblStylePr>
    <w:tblStylePr w:type="lastCol">
      <w:rPr>
        <w:b/>
        <w:color w:val="FFFFFF"/>
        <w:sz w:val="22"/>
      </w:rPr>
      <w:tblPr/>
      <w:tcPr>
        <w:shd w:val="clear" w:color="FFFFFF" w:fill="FFC000" w:themeFill="accent4"/>
      </w:tcPr>
    </w:tblStylePr>
    <w:tblStylePr w:type="lastRow">
      <w:rPr>
        <w:b/>
        <w:color w:val="FFFFFF"/>
        <w:sz w:val="22"/>
      </w:rPr>
      <w:tblPr/>
      <w:tcPr>
        <w:tcBorders>
          <w:top w:val="single" w:color="000000" w:themeColor="light1" w:sz="4" w:space="0"/>
        </w:tcBorders>
        <w:shd w:val="clear" w:color="FFFFFF" w:fill="FFC000" w:themeFill="accent4"/>
      </w:tcPr>
    </w:tblStylePr>
  </w:style>
  <w:style w:type="table" w:styleId="1431">
    <w:name w:val="Grid Table 5 Dark - Accent 5"/>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2EB" w:themeFill="accent5" w:themeFillTint="75"/>
      </w:tcPr>
    </w:tblStylePr>
    <w:tblStylePr w:type="band1Vert">
      <w:tblPr/>
      <w:tcPr>
        <w:shd w:val="clear" w:color="FFFFFF" w:fill="B4D2EB" w:themeFill="accent5" w:themeFillTint="75"/>
      </w:tcPr>
    </w:tblStylePr>
    <w:tblStylePr w:type="firstCol">
      <w:rPr>
        <w:b/>
        <w:color w:val="FFFFFF"/>
        <w:sz w:val="22"/>
      </w:rPr>
      <w:tblPr/>
      <w:tcPr>
        <w:shd w:val="clear" w:color="FFFFFF" w:fill="5B9BD5" w:themeFill="accent5"/>
      </w:tcPr>
    </w:tblStylePr>
    <w:tblStylePr w:type="firstRow">
      <w:rPr>
        <w:b/>
        <w:color w:val="FFFFFF"/>
        <w:sz w:val="22"/>
      </w:rPr>
      <w:tblPr/>
      <w:tcPr>
        <w:shd w:val="clear" w:color="FFFFFF" w:fill="5B9BD5" w:themeFill="accent5"/>
      </w:tcPr>
    </w:tblStylePr>
    <w:tblStylePr w:type="lastCol">
      <w:rPr>
        <w:b/>
        <w:color w:val="FFFFFF"/>
        <w:sz w:val="22"/>
      </w:rPr>
      <w:tblPr/>
      <w:tcPr>
        <w:shd w:val="clear" w:color="FFFFFF" w:fill="5B9BD5" w:themeFill="accent5"/>
      </w:tcPr>
    </w:tblStylePr>
    <w:tblStylePr w:type="lastRow">
      <w:rPr>
        <w:b/>
        <w:color w:val="FFFFFF"/>
        <w:sz w:val="22"/>
      </w:rPr>
      <w:tblPr/>
      <w:tcPr>
        <w:tcBorders>
          <w:top w:val="single" w:color="000000" w:themeColor="light1" w:sz="4" w:space="0"/>
        </w:tcBorders>
        <w:shd w:val="clear" w:color="FFFFFF" w:fill="5B9BD5" w:themeFill="accent5"/>
      </w:tcPr>
    </w:tblStylePr>
  </w:style>
  <w:style w:type="table" w:styleId="1432">
    <w:name w:val="Grid Table 5 Dark - Accent 6"/>
    <w:basedOn w:val="1517"/>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EDBA8" w:themeFill="accent6" w:themeFillTint="75"/>
      </w:tcPr>
    </w:tblStylePr>
    <w:tblStylePr w:type="band1Vert">
      <w:tblPr/>
      <w:tcPr>
        <w:shd w:val="clear" w:color="FFFFFF" w:fill="BEDBA8" w:themeFill="accent6" w:themeFillTint="75"/>
      </w:tcPr>
    </w:tblStylePr>
    <w:tblStylePr w:type="firstCol">
      <w:rPr>
        <w:b/>
        <w:color w:val="FFFFFF"/>
        <w:sz w:val="22"/>
      </w:rPr>
      <w:tblPr/>
      <w:tcPr>
        <w:shd w:val="clear" w:color="FFFFFF" w:fill="70AD47" w:themeFill="accent6"/>
      </w:tcPr>
    </w:tblStylePr>
    <w:tblStylePr w:type="firstRow">
      <w:rPr>
        <w:b/>
        <w:color w:val="FFFFFF"/>
        <w:sz w:val="22"/>
      </w:rPr>
      <w:tblPr/>
      <w:tcPr>
        <w:shd w:val="clear" w:color="FFFFFF" w:fill="70AD47" w:themeFill="accent6"/>
      </w:tcPr>
    </w:tblStylePr>
    <w:tblStylePr w:type="lastCol">
      <w:rPr>
        <w:b/>
        <w:color w:val="FFFFFF"/>
        <w:sz w:val="22"/>
      </w:rPr>
      <w:tblPr/>
      <w:tcPr>
        <w:shd w:val="clear" w:color="FFFFFF" w:fill="70AD47" w:themeFill="accent6"/>
      </w:tcPr>
    </w:tblStylePr>
    <w:tblStylePr w:type="lastRow">
      <w:rPr>
        <w:b/>
        <w:color w:val="FFFFFF"/>
        <w:sz w:val="22"/>
      </w:rPr>
      <w:tblPr/>
      <w:tcPr>
        <w:tcBorders>
          <w:top w:val="single" w:color="000000" w:themeColor="light1" w:sz="4" w:space="0"/>
        </w:tcBorders>
        <w:shd w:val="clear" w:color="FFFFFF" w:fill="70AD47" w:themeFill="accent6"/>
      </w:tcPr>
    </w:tblStylePr>
  </w:style>
  <w:style w:type="table" w:styleId="1433">
    <w:name w:val="Grid Table 6 Colorful"/>
    <w:basedOn w:val="1517"/>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1434">
    <w:name w:val="Grid Table 6 Colorful - Accent 1"/>
    <w:basedOn w:val="1517"/>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404040" w:themeColor="accent1" w:themeTint="80" w:themeShade="95"/>
        <w:sz w:val="22"/>
      </w:rPr>
      <w:tblPr/>
    </w:tblStylePr>
    <w:tblStylePr w:type="firstCol">
      <w:rPr>
        <w:b/>
        <w:color w:val="3664A9" w:themeColor="accent1" w:themeTint="80" w:themeShade="95"/>
      </w:rPr>
      <w:tblPr/>
    </w:tblStylePr>
    <w:tblStylePr w:type="firstRow">
      <w:rPr>
        <w:b/>
        <w:color w:val="3664A9" w:themeColor="accent1" w:themeTint="80" w:themeShade="95"/>
      </w:rPr>
      <w:tblPr/>
      <w:tcPr>
        <w:tcBorders>
          <w:bottom w:val="single" w:color="000000" w:themeColor="accent1" w:sz="12" w:space="0"/>
        </w:tcBorders>
      </w:tcPr>
    </w:tblStylePr>
    <w:tblStylePr w:type="lastCol">
      <w:rPr>
        <w:b/>
        <w:color w:val="3664A9" w:themeColor="accent1" w:themeTint="80" w:themeShade="95"/>
      </w:rPr>
      <w:tblPr/>
    </w:tblStylePr>
    <w:tblStylePr w:type="lastRow">
      <w:rPr>
        <w:b/>
        <w:color w:val="3664A9" w:themeColor="accent1" w:themeTint="80" w:themeShade="95"/>
      </w:rPr>
      <w:tblPr/>
    </w:tblStylePr>
    <w:tblStylePr w:type="wholeTable">
      <w:rPr>
        <w:color w:val="404040" w:themeColor="accent1" w:themeTint="80" w:themeShade="95"/>
        <w:sz w:val="22"/>
      </w:rPr>
      <w:tblPr/>
    </w:tblStylePr>
  </w:style>
  <w:style w:type="table" w:styleId="1435">
    <w:name w:val="Grid Table 6 Colorful - Accent 2"/>
    <w:basedOn w:val="1517"/>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12" w:space="0"/>
        </w:tcBorders>
      </w:tcPr>
    </w:tblStylePr>
    <w:tblStylePr w:type="lastCol">
      <w:rPr>
        <w:b/>
        <w:color w:val="C95712" w:themeColor="accent2" w:themeTint="97" w:themeShade="95"/>
      </w:rPr>
      <w:tblPr/>
    </w:tblStylePr>
    <w:tblStylePr w:type="lastRow">
      <w:rPr>
        <w:b/>
        <w:color w:val="C95712" w:themeColor="accent2" w:themeTint="97" w:themeShade="95"/>
      </w:rPr>
      <w:tblPr/>
    </w:tblStylePr>
    <w:tblStylePr w:type="wholeTable">
      <w:rPr>
        <w:color w:val="404040" w:themeColor="accent2" w:themeTint="97" w:themeShade="95"/>
        <w:sz w:val="22"/>
      </w:rPr>
      <w:tblPr/>
    </w:tblStylePr>
  </w:style>
  <w:style w:type="table" w:styleId="1436">
    <w:name w:val="Grid Table 6 Colorful - Accent 3"/>
    <w:basedOn w:val="1517"/>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404040" w:themeColor="accent3" w:themeTint="fe" w:themeShade="95"/>
        <w:sz w:val="22"/>
      </w:rPr>
      <w:tblPr/>
    </w:tblStylePr>
    <w:tblStylePr w:type="firstCol">
      <w:rPr>
        <w:b/>
        <w:color w:val="606060" w:themeColor="accent3" w:themeTint="fe" w:themeShade="95"/>
      </w:rPr>
      <w:tblPr/>
    </w:tblStylePr>
    <w:tblStylePr w:type="firstRow">
      <w:rPr>
        <w:b/>
        <w:color w:val="606060" w:themeColor="accent3" w:themeTint="fe" w:themeShade="95"/>
      </w:rPr>
      <w:tblPr/>
      <w:tcPr>
        <w:tcBorders>
          <w:bottom w:val="single" w:color="000000" w:themeColor="accent3" w:sz="12" w:space="0"/>
        </w:tcBorders>
      </w:tcPr>
    </w:tblStylePr>
    <w:tblStylePr w:type="lastCol">
      <w:rPr>
        <w:b/>
        <w:color w:val="606060" w:themeColor="accent3" w:themeTint="fe" w:themeShade="95"/>
      </w:rPr>
      <w:tblPr/>
    </w:tblStylePr>
    <w:tblStylePr w:type="lastRow">
      <w:rPr>
        <w:b/>
        <w:color w:val="606060" w:themeColor="accent3" w:themeTint="fe" w:themeShade="95"/>
      </w:rPr>
      <w:tblPr/>
    </w:tblStylePr>
    <w:tblStylePr w:type="wholeTable">
      <w:rPr>
        <w:color w:val="404040" w:themeColor="accent3" w:themeTint="fe" w:themeShade="95"/>
        <w:sz w:val="22"/>
      </w:rPr>
      <w:tblPr/>
    </w:tblStylePr>
  </w:style>
  <w:style w:type="table" w:styleId="1437">
    <w:name w:val="Grid Table 6 Colorful - Accent 4"/>
    <w:basedOn w:val="1517"/>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12" w:space="0"/>
        </w:tcBorders>
      </w:tcPr>
    </w:tblStylePr>
    <w:tblStylePr w:type="lastCol">
      <w:rPr>
        <w:b/>
        <w:color w:val="CD9600" w:themeColor="accent4" w:themeTint="9a" w:themeShade="95"/>
      </w:rPr>
      <w:tblPr/>
    </w:tblStylePr>
    <w:tblStylePr w:type="lastRow">
      <w:rPr>
        <w:b/>
        <w:color w:val="CD9600" w:themeColor="accent4" w:themeTint="9a" w:themeShade="95"/>
      </w:rPr>
      <w:tblPr/>
    </w:tblStylePr>
    <w:tblStylePr w:type="wholeTable">
      <w:rPr>
        <w:color w:val="404040" w:themeColor="accent4" w:themeTint="9a" w:themeShade="95"/>
        <w:sz w:val="22"/>
      </w:rPr>
      <w:tblPr/>
    </w:tblStylePr>
  </w:style>
  <w:style w:type="table" w:styleId="1438">
    <w:name w:val="Grid Table 6 Colorful - Accent 5"/>
    <w:basedOn w:val="1517"/>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5"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1439">
    <w:name w:val="Grid Table 6 Colorful - Accent 6"/>
    <w:basedOn w:val="1517"/>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6"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1440">
    <w:name w:val="Grid Table 7 Colorful"/>
    <w:basedOn w:val="1517"/>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0"/>
      </w:tcPr>
    </w:tblStylePr>
    <w:tblStylePr w:type="band1Vert">
      <w:tblPr/>
      <w:tcPr>
        <w:shd w:val="clear" w:color="FFFFFF" w:fill="F2F2F2" w:themeFill="text1" w:themeFillTint="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1441">
    <w:name w:val="Grid Table 7 Colorful - Accent 1"/>
    <w:basedOn w:val="1517"/>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664A9"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3664A9" w:themeColor="accent1" w:themeTint="80" w:themeShade="95"/>
        <w:sz w:val="22"/>
      </w:rPr>
      <w:tblPr/>
    </w:tblStylePr>
    <w:tblStylePr w:type="firstCol">
      <w:pPr>
        <w:jc w:val="right"/>
      </w:pPr>
      <w:rPr>
        <w:i/>
        <w:color w:val="3664A9"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664A9"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664A9"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664A9"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1442">
    <w:name w:val="Grid Table 7 Colorful - Accent 2"/>
    <w:basedOn w:val="1517"/>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C957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957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C957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1443">
    <w:name w:val="Grid Table 7 Colorful - Accent 3"/>
    <w:basedOn w:val="1517"/>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606060" w:themeColor="accent3" w:themeTint="fe" w:themeShade="95"/>
        <w:sz w:val="22"/>
      </w:rPr>
      <w:tblPr/>
    </w:tblStylePr>
    <w:tblStylePr w:type="firstCol">
      <w:pPr>
        <w:jc w:val="right"/>
      </w:pPr>
      <w:rPr>
        <w:i/>
        <w:color w:val="606060"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606060"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606060"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606060"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1444">
    <w:name w:val="Grid Table 7 Colorful - Accent 4"/>
    <w:basedOn w:val="1517"/>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CD96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CD96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CD96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1445">
    <w:name w:val="Grid Table 7 Colorful - Accent 5"/>
    <w:basedOn w:val="1517"/>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45D8D"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245D8D" w:themeColor="accent5" w:themeShade="95"/>
        <w:sz w:val="22"/>
      </w:rPr>
      <w:tblPr/>
    </w:tblStylePr>
    <w:tblStylePr w:type="firstCol">
      <w:pPr>
        <w:jc w:val="right"/>
      </w:pPr>
      <w:rPr>
        <w:i/>
        <w:color w:val="245D8D"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45D8D"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45D8D"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45D8D"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1446">
    <w:name w:val="Grid Table 7 Colorful - Accent 6"/>
    <w:basedOn w:val="1517"/>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26429" w:themeColor="accent6" w:themeShade="95"/>
        <w:sz w:val="22"/>
      </w:rPr>
      <w:tblPr/>
    </w:tblStylePr>
    <w:tblStylePr w:type="firstCol">
      <w:pPr>
        <w:jc w:val="right"/>
      </w:pPr>
      <w:rPr>
        <w:i/>
        <w:color w:val="426429"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426429"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426429"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426429"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1447">
    <w:name w:val="List Table 1 Light"/>
    <w:basedOn w:val="1517"/>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448">
    <w:name w:val="List Table 1 Light - Accent 1"/>
    <w:basedOn w:val="1517"/>
    <w:uiPriority w:val="99"/>
    <w:pPr>
      <w:spacing w:after="0" w:line="240" w:lineRule="auto"/>
    </w:pPr>
    <w:tblPr>
      <w:tblStyleRowBandSize w:val="1"/>
      <w:tblStyleColBandSize w:val="1"/>
    </w:tblPr>
    <w:tblStylePr w:type="band1Horz">
      <w:tblPr/>
      <w:tcPr>
        <w:shd w:val="clear" w:color="FFFFFF" w:fill="CFDCF0" w:themeFill="accent1" w:themeFillTint="40"/>
      </w:tcPr>
    </w:tblStylePr>
    <w:tblStylePr w:type="band1Vert">
      <w:tblPr/>
      <w:tcPr>
        <w:shd w:val="clear" w:color="FFFFFF" w:fill="CFDCF0"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449">
    <w:name w:val="List Table 1 Light - Accent 2"/>
    <w:basedOn w:val="1517"/>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450">
    <w:name w:val="List Table 1 Light - Accent 3"/>
    <w:basedOn w:val="1517"/>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451">
    <w:name w:val="List Table 1 Light - Accent 4"/>
    <w:basedOn w:val="1517"/>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452">
    <w:name w:val="List Table 1 Light - Accent 5"/>
    <w:basedOn w:val="1517"/>
    <w:uiPriority w:val="99"/>
    <w:pPr>
      <w:spacing w:after="0" w:line="240" w:lineRule="auto"/>
    </w:pPr>
    <w:tblPr>
      <w:tblStyleRowBandSize w:val="1"/>
      <w:tblStyleColBandSize w:val="1"/>
    </w:tblPr>
    <w:tblStylePr w:type="band1Horz">
      <w:tblPr/>
      <w:tcPr>
        <w:shd w:val="clear" w:color="FFFFFF" w:fill="D5E6F4" w:themeFill="accent5" w:themeFillTint="40"/>
      </w:tcPr>
    </w:tblStylePr>
    <w:tblStylePr w:type="band1Vert">
      <w:tblPr/>
      <w:tcPr>
        <w:shd w:val="clear" w:color="FFFFFF" w:fill="D5E6F4"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453">
    <w:name w:val="List Table 1 Light - Accent 6"/>
    <w:basedOn w:val="1517"/>
    <w:uiPriority w:val="99"/>
    <w:pPr>
      <w:spacing w:after="0" w:line="240" w:lineRule="auto"/>
    </w:pPr>
    <w:tblPr>
      <w:tblStyleRowBandSize w:val="1"/>
      <w:tblStyleColBandSize w:val="1"/>
    </w:tblPr>
    <w:tblStylePr w:type="band1Horz">
      <w:tblPr/>
      <w:tcPr>
        <w:shd w:val="clear" w:color="FFFFFF" w:fill="DBEBD0" w:themeFill="accent6" w:themeFillTint="40"/>
      </w:tcPr>
    </w:tblStylePr>
    <w:tblStylePr w:type="band1Vert">
      <w:tblPr/>
      <w:tcPr>
        <w:shd w:val="clear" w:color="FFFFFF" w:fill="DBEB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454">
    <w:name w:val="List Table 2"/>
    <w:basedOn w:val="1517"/>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455">
    <w:name w:val="List Table 2 - Accent 1"/>
    <w:basedOn w:val="1517"/>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456">
    <w:name w:val="List Table 2 - Accent 2"/>
    <w:basedOn w:val="1517"/>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457">
    <w:name w:val="List Table 2 - Accent 3"/>
    <w:basedOn w:val="1517"/>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458">
    <w:name w:val="List Table 2 - Accent 4"/>
    <w:basedOn w:val="1517"/>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459">
    <w:name w:val="List Table 2 - Accent 5"/>
    <w:basedOn w:val="1517"/>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460">
    <w:name w:val="List Table 2 - Accent 6"/>
    <w:basedOn w:val="1517"/>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461">
    <w:name w:val="List Table 3"/>
    <w:basedOn w:val="151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462">
    <w:name w:val="List Table 3 - Accent 1"/>
    <w:basedOn w:val="1517"/>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1463">
    <w:name w:val="List Table 3 - Accent 2"/>
    <w:basedOn w:val="1517"/>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F4B185" w:themeFill="accent2" w:themeFillTint="97"/>
      </w:tcPr>
    </w:tblStylePr>
    <w:tblStylePr w:type="lastCol">
      <w:rPr>
        <w:b/>
        <w:color w:val="404040"/>
      </w:rPr>
      <w:tblPr/>
    </w:tblStylePr>
    <w:tblStylePr w:type="lastRow">
      <w:rPr>
        <w:b/>
        <w:color w:val="404040"/>
      </w:rPr>
      <w:tblPr/>
    </w:tblStylePr>
  </w:style>
  <w:style w:type="table" w:styleId="1464">
    <w:name w:val="List Table 3 - Accent 3"/>
    <w:basedOn w:val="1517"/>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9C9C9" w:themeFill="accent3" w:themeFillTint="98"/>
      </w:tcPr>
    </w:tblStylePr>
    <w:tblStylePr w:type="lastCol">
      <w:rPr>
        <w:b/>
        <w:color w:val="404040"/>
      </w:rPr>
      <w:tblPr/>
    </w:tblStylePr>
    <w:tblStylePr w:type="lastRow">
      <w:rPr>
        <w:b/>
        <w:color w:val="404040"/>
      </w:rPr>
      <w:tblPr/>
    </w:tblStylePr>
  </w:style>
  <w:style w:type="table" w:styleId="1465">
    <w:name w:val="List Table 3 - Accent 4"/>
    <w:basedOn w:val="1517"/>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FFD864" w:themeFill="accent4" w:themeFillTint="9a"/>
      </w:tcPr>
    </w:tblStylePr>
    <w:tblStylePr w:type="lastCol">
      <w:rPr>
        <w:b/>
        <w:color w:val="404040"/>
      </w:rPr>
      <w:tblPr/>
    </w:tblStylePr>
    <w:tblStylePr w:type="lastRow">
      <w:rPr>
        <w:b/>
        <w:color w:val="404040"/>
      </w:rPr>
      <w:tblPr/>
    </w:tblStylePr>
  </w:style>
  <w:style w:type="table" w:styleId="1466">
    <w:name w:val="List Table 3 - Accent 5"/>
    <w:basedOn w:val="1517"/>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CC4E5" w:themeFill="accent5" w:themeFillTint="9a"/>
      </w:tcPr>
    </w:tblStylePr>
    <w:tblStylePr w:type="lastCol">
      <w:rPr>
        <w:b/>
        <w:color w:val="404040"/>
      </w:rPr>
      <w:tblPr/>
    </w:tblStylePr>
    <w:tblStylePr w:type="lastRow">
      <w:rPr>
        <w:b/>
        <w:color w:val="404040"/>
      </w:rPr>
      <w:tblPr/>
    </w:tblStylePr>
  </w:style>
  <w:style w:type="table" w:styleId="1467">
    <w:name w:val="List Table 3 - Accent 6"/>
    <w:basedOn w:val="1517"/>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AAD08F" w:themeFill="accent6" w:themeFillTint="98"/>
      </w:tcPr>
    </w:tblStylePr>
    <w:tblStylePr w:type="lastCol">
      <w:rPr>
        <w:b/>
        <w:color w:val="404040"/>
      </w:rPr>
      <w:tblPr/>
    </w:tblStylePr>
    <w:tblStylePr w:type="lastRow">
      <w:rPr>
        <w:b/>
        <w:color w:val="404040"/>
      </w:rPr>
      <w:tblPr/>
    </w:tblStylePr>
  </w:style>
  <w:style w:type="table" w:styleId="1468">
    <w:name w:val="List Table 4"/>
    <w:basedOn w:val="151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469">
    <w:name w:val="List Table 4 - Accent 1"/>
    <w:basedOn w:val="1517"/>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1470">
    <w:name w:val="List Table 4 - Accent 2"/>
    <w:basedOn w:val="1517"/>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rPr>
      <w:tblPr/>
    </w:tblStylePr>
    <w:tblStylePr w:type="firstRow">
      <w:rPr>
        <w:b/>
        <w:color w:val="FFFFFF"/>
        <w:sz w:val="22"/>
      </w:rPr>
      <w:tblPr/>
      <w:tcPr>
        <w:shd w:val="clear" w:color="FFFFFF" w:fill="ED7D31" w:themeFill="accent2"/>
      </w:tcPr>
    </w:tblStylePr>
    <w:tblStylePr w:type="lastCol">
      <w:rPr>
        <w:b/>
        <w:color w:val="404040"/>
      </w:rPr>
      <w:tblPr/>
    </w:tblStylePr>
    <w:tblStylePr w:type="lastRow">
      <w:rPr>
        <w:b/>
        <w:color w:val="404040"/>
      </w:rPr>
      <w:tblPr/>
    </w:tblStylePr>
  </w:style>
  <w:style w:type="table" w:styleId="1471">
    <w:name w:val="List Table 4 - Accent 3"/>
    <w:basedOn w:val="1517"/>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rPr>
      <w:tblPr/>
    </w:tblStylePr>
    <w:tblStylePr w:type="firstRow">
      <w:rPr>
        <w:b/>
        <w:color w:val="FFFFFF"/>
        <w:sz w:val="22"/>
      </w:rPr>
      <w:tblPr/>
      <w:tcPr>
        <w:shd w:val="clear" w:color="FFFFFF" w:fill="A5A5A5" w:themeFill="accent3"/>
      </w:tcPr>
    </w:tblStylePr>
    <w:tblStylePr w:type="lastCol">
      <w:rPr>
        <w:b/>
        <w:color w:val="404040"/>
      </w:rPr>
      <w:tblPr/>
    </w:tblStylePr>
    <w:tblStylePr w:type="lastRow">
      <w:rPr>
        <w:b/>
        <w:color w:val="404040"/>
      </w:rPr>
      <w:tblPr/>
    </w:tblStylePr>
  </w:style>
  <w:style w:type="table" w:styleId="1472">
    <w:name w:val="List Table 4 - Accent 4"/>
    <w:basedOn w:val="1517"/>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rPr>
      <w:tblPr/>
    </w:tblStylePr>
    <w:tblStylePr w:type="firstRow">
      <w:rPr>
        <w:b/>
        <w:color w:val="FFFFFF"/>
        <w:sz w:val="22"/>
      </w:rPr>
      <w:tblPr/>
      <w:tcPr>
        <w:shd w:val="clear" w:color="FFFFFF" w:fill="FFC000" w:themeFill="accent4"/>
      </w:tcPr>
    </w:tblStylePr>
    <w:tblStylePr w:type="lastCol">
      <w:rPr>
        <w:b/>
        <w:color w:val="404040"/>
      </w:rPr>
      <w:tblPr/>
    </w:tblStylePr>
    <w:tblStylePr w:type="lastRow">
      <w:rPr>
        <w:b/>
        <w:color w:val="404040"/>
      </w:rPr>
      <w:tblPr/>
    </w:tblStylePr>
  </w:style>
  <w:style w:type="table" w:styleId="1473">
    <w:name w:val="List Table 4 - Accent 5"/>
    <w:basedOn w:val="1517"/>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rPr>
      <w:tblPr/>
    </w:tblStylePr>
    <w:tblStylePr w:type="firstRow">
      <w:rPr>
        <w:b/>
        <w:color w:val="FFFFFF"/>
        <w:sz w:val="22"/>
      </w:rPr>
      <w:tblPr/>
      <w:tcPr>
        <w:shd w:val="clear" w:color="FFFFFF" w:fill="5B9BD5" w:themeFill="accent5"/>
      </w:tcPr>
    </w:tblStylePr>
    <w:tblStylePr w:type="lastCol">
      <w:rPr>
        <w:b/>
        <w:color w:val="404040"/>
      </w:rPr>
      <w:tblPr/>
    </w:tblStylePr>
    <w:tblStylePr w:type="lastRow">
      <w:rPr>
        <w:b/>
        <w:color w:val="404040"/>
      </w:rPr>
      <w:tblPr/>
    </w:tblStylePr>
  </w:style>
  <w:style w:type="table" w:styleId="1474">
    <w:name w:val="List Table 4 - Accent 6"/>
    <w:basedOn w:val="1517"/>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rPr>
      <w:tblPr/>
    </w:tblStylePr>
    <w:tblStylePr w:type="firstRow">
      <w:rPr>
        <w:b/>
        <w:color w:val="FFFFFF"/>
        <w:sz w:val="22"/>
      </w:rPr>
      <w:tblPr/>
      <w:tcPr>
        <w:shd w:val="clear" w:color="FFFFFF" w:fill="70AD47" w:themeFill="accent6"/>
      </w:tcPr>
    </w:tblStylePr>
    <w:tblStylePr w:type="lastCol">
      <w:rPr>
        <w:b/>
        <w:color w:val="404040"/>
      </w:rPr>
      <w:tblPr/>
    </w:tblStylePr>
    <w:tblStylePr w:type="lastRow">
      <w:rPr>
        <w:b/>
        <w:color w:val="404040"/>
      </w:rPr>
      <w:tblPr/>
    </w:tblStylePr>
  </w:style>
  <w:style w:type="table" w:styleId="1475">
    <w:name w:val="List Table 5 Dark"/>
    <w:basedOn w:val="1517"/>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76">
    <w:name w:val="List Table 5 Dark - Accent 1"/>
    <w:basedOn w:val="1517"/>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472C4" w:themeFill="accent1"/>
      </w:tcPr>
    </w:tblStylePr>
    <w:tblStylePr w:type="band1Vert">
      <w:tblPr/>
      <w:tcPr>
        <w:tcBorders>
          <w:left w:val="single" w:color="000000" w:themeColor="light1" w:sz="4" w:space="0"/>
          <w:right w:val="single" w:color="000000" w:themeColor="light1" w:sz="4" w:space="0"/>
        </w:tcBorders>
        <w:shd w:val="clear" w:color="FFFFFF" w:fill="4472C4" w:themeFill="accent1"/>
      </w:tcPr>
    </w:tblStylePr>
    <w:tblStylePr w:type="band2Horz">
      <w:tblPr/>
      <w:tcPr>
        <w:tcBorders>
          <w:top w:val="single" w:color="000000" w:themeColor="light1" w:sz="4" w:space="0"/>
          <w:bottom w:val="single" w:color="000000" w:themeColor="light1" w:sz="4" w:space="0"/>
        </w:tcBorders>
        <w:shd w:val="clear" w:color="FFFFFF" w:fill="4472C4"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472C4"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77">
    <w:name w:val="List Table 5 Dark - Accent 2"/>
    <w:basedOn w:val="1517"/>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185" w:themeFill="accent2" w:themeFillTint="97"/>
      </w:tcPr>
    </w:tblStylePr>
    <w:tblStylePr w:type="band1Vert">
      <w:tblPr/>
      <w:tcPr>
        <w:tcBorders>
          <w:left w:val="single" w:color="000000" w:themeColor="light1" w:sz="4" w:space="0"/>
          <w:right w:val="single" w:color="000000" w:themeColor="light1" w:sz="4" w:space="0"/>
        </w:tcBorders>
        <w:shd w:val="clear" w:color="FFFFFF" w:fill="F4B185" w:themeFill="accent2" w:themeFillTint="97"/>
      </w:tcPr>
    </w:tblStylePr>
    <w:tblStylePr w:type="band2Horz">
      <w:tblPr/>
      <w:tcPr>
        <w:tcBorders>
          <w:top w:val="single" w:color="000000" w:themeColor="light1" w:sz="4" w:space="0"/>
          <w:bottom w:val="single" w:color="000000" w:themeColor="light1" w:sz="4" w:space="0"/>
        </w:tcBorders>
        <w:shd w:val="clear" w:color="FFFFFF" w:fill="F4B1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F4B1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78">
    <w:name w:val="List Table 5 Dark - Accent 3"/>
    <w:basedOn w:val="1517"/>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79">
    <w:name w:val="List Table 5 Dark - Accent 4"/>
    <w:basedOn w:val="1517"/>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864" w:themeFill="accent4" w:themeFillTint="9a"/>
      </w:tcPr>
    </w:tblStylePr>
    <w:tblStylePr w:type="band1Vert">
      <w:tblPr/>
      <w:tcPr>
        <w:tcBorders>
          <w:left w:val="single" w:color="000000" w:themeColor="light1" w:sz="4" w:space="0"/>
          <w:right w:val="single" w:color="000000" w:themeColor="light1" w:sz="4" w:space="0"/>
        </w:tcBorders>
        <w:shd w:val="clear" w:color="FFFFFF" w:fill="FFD864" w:themeFill="accent4" w:themeFillTint="9a"/>
      </w:tcPr>
    </w:tblStylePr>
    <w:tblStylePr w:type="band2Horz">
      <w:tblPr/>
      <w:tcPr>
        <w:tcBorders>
          <w:top w:val="single" w:color="000000" w:themeColor="light1" w:sz="4" w:space="0"/>
          <w:bottom w:val="single" w:color="000000" w:themeColor="light1" w:sz="4" w:space="0"/>
        </w:tcBorders>
        <w:shd w:val="clear" w:color="FFFFFF" w:fill="FFD864"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FFD864"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80">
    <w:name w:val="List Table 5 Dark - Accent 5"/>
    <w:basedOn w:val="1517"/>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CC4E5" w:themeFill="accent5" w:themeFillTint="9a"/>
      </w:tcPr>
    </w:tblStylePr>
    <w:tblStylePr w:type="band1Vert">
      <w:tblPr/>
      <w:tcPr>
        <w:tcBorders>
          <w:left w:val="single" w:color="000000" w:themeColor="light1" w:sz="4" w:space="0"/>
          <w:right w:val="single" w:color="000000" w:themeColor="light1" w:sz="4" w:space="0"/>
        </w:tcBorders>
        <w:shd w:val="clear" w:color="FFFFFF" w:fill="9CC4E5" w:themeFill="accent5" w:themeFillTint="9a"/>
      </w:tcPr>
    </w:tblStylePr>
    <w:tblStylePr w:type="band2Horz">
      <w:tblPr/>
      <w:tcPr>
        <w:tcBorders>
          <w:top w:val="single" w:color="000000" w:themeColor="light1" w:sz="4" w:space="0"/>
          <w:bottom w:val="single" w:color="000000" w:themeColor="light1" w:sz="4" w:space="0"/>
        </w:tcBorders>
        <w:shd w:val="clear" w:color="FFFFFF" w:fill="9CC4E5"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CC4E5"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81">
    <w:name w:val="List Table 5 Dark - Accent 6"/>
    <w:basedOn w:val="1517"/>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AD08F" w:themeFill="accent6" w:themeFillTint="98"/>
      </w:tcPr>
    </w:tblStylePr>
    <w:tblStylePr w:type="band1Vert">
      <w:tblPr/>
      <w:tcPr>
        <w:tcBorders>
          <w:left w:val="single" w:color="000000" w:themeColor="light1" w:sz="4" w:space="0"/>
          <w:right w:val="single" w:color="000000" w:themeColor="light1" w:sz="4" w:space="0"/>
        </w:tcBorders>
        <w:shd w:val="clear" w:color="FFFFFF" w:fill="AAD08F" w:themeFill="accent6" w:themeFillTint="98"/>
      </w:tcPr>
    </w:tblStylePr>
    <w:tblStylePr w:type="band2Horz">
      <w:tblPr/>
      <w:tcPr>
        <w:tcBorders>
          <w:top w:val="single" w:color="000000" w:themeColor="light1" w:sz="4" w:space="0"/>
          <w:bottom w:val="single" w:color="000000" w:themeColor="light1" w:sz="4" w:space="0"/>
        </w:tcBorders>
        <w:shd w:val="clear" w:color="FFFFFF" w:fill="AAD0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AAD0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82">
    <w:name w:val="List Table 6 Colorful"/>
    <w:basedOn w:val="1517"/>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483">
    <w:name w:val="List Table 6 Colorful - Accent 1"/>
    <w:basedOn w:val="1517"/>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404040" w:themeColor="accent1" w:themeShade="95"/>
        <w:sz w:val="22"/>
      </w:rPr>
      <w:tblPr/>
    </w:tblStylePr>
    <w:tblStylePr w:type="firstCol">
      <w:rPr>
        <w:b/>
        <w:color w:val="254374" w:themeColor="accent1" w:themeShade="95"/>
      </w:rPr>
      <w:tblPr/>
    </w:tblStylePr>
    <w:tblStylePr w:type="firstRow">
      <w:rPr>
        <w:b/>
        <w:color w:val="254374" w:themeColor="accent1" w:themeShade="95"/>
      </w:rPr>
      <w:tblPr/>
      <w:tcPr>
        <w:tcBorders>
          <w:bottom w:val="single" w:color="000000" w:themeColor="accent1" w:sz="4" w:space="0"/>
        </w:tcBorders>
      </w:tcPr>
    </w:tblStylePr>
    <w:tblStylePr w:type="lastCol">
      <w:rPr>
        <w:b/>
        <w:color w:val="254374" w:themeColor="accent1" w:themeShade="95"/>
      </w:rPr>
      <w:tblPr/>
    </w:tblStylePr>
    <w:tblStylePr w:type="lastRow">
      <w:rPr>
        <w:b/>
        <w:color w:val="254374" w:themeColor="accent1" w:themeShade="95"/>
      </w:rPr>
      <w:tblPr/>
      <w:tcPr>
        <w:tcBorders>
          <w:top w:val="single" w:color="000000" w:themeColor="accent1" w:sz="4" w:space="0"/>
        </w:tcBorders>
      </w:tcPr>
    </w:tblStylePr>
  </w:style>
  <w:style w:type="table" w:styleId="1484">
    <w:name w:val="List Table 6 Colorful - Accent 2"/>
    <w:basedOn w:val="1517"/>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4" w:space="0"/>
        </w:tcBorders>
      </w:tcPr>
    </w:tblStylePr>
    <w:tblStylePr w:type="lastCol">
      <w:rPr>
        <w:b/>
        <w:color w:val="C95712" w:themeColor="accent2" w:themeTint="97" w:themeShade="95"/>
      </w:rPr>
      <w:tblPr/>
    </w:tblStylePr>
    <w:tblStylePr w:type="lastRow">
      <w:rPr>
        <w:b/>
        <w:color w:val="C95712" w:themeColor="accent2" w:themeTint="97" w:themeShade="95"/>
      </w:rPr>
      <w:tblPr/>
      <w:tcPr>
        <w:tcBorders>
          <w:top w:val="single" w:color="000000" w:themeColor="accent2" w:sz="4" w:space="0"/>
        </w:tcBorders>
      </w:tcPr>
    </w:tblStylePr>
  </w:style>
  <w:style w:type="table" w:styleId="1485">
    <w:name w:val="List Table 6 Colorful - Accent 3"/>
    <w:basedOn w:val="1517"/>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404040" w:themeColor="accent3" w:themeTint="98" w:themeShade="95"/>
        <w:sz w:val="22"/>
      </w:rPr>
      <w:tblPr/>
    </w:tblStylePr>
    <w:tblStylePr w:type="firstCol">
      <w:rPr>
        <w:b/>
        <w:color w:val="757575" w:themeColor="accent3" w:themeTint="98" w:themeShade="95"/>
      </w:rPr>
      <w:tblPr/>
    </w:tblStylePr>
    <w:tblStylePr w:type="firstRow">
      <w:rPr>
        <w:b/>
        <w:color w:val="757575" w:themeColor="accent3" w:themeTint="98" w:themeShade="95"/>
      </w:rPr>
      <w:tblPr/>
      <w:tcPr>
        <w:tcBorders>
          <w:bottom w:val="single" w:color="000000" w:themeColor="accent3" w:sz="4" w:space="0"/>
        </w:tcBorders>
      </w:tcPr>
    </w:tblStylePr>
    <w:tblStylePr w:type="lastCol">
      <w:rPr>
        <w:b/>
        <w:color w:val="757575" w:themeColor="accent3" w:themeTint="98" w:themeShade="95"/>
      </w:rPr>
      <w:tblPr/>
    </w:tblStylePr>
    <w:tblStylePr w:type="lastRow">
      <w:rPr>
        <w:b/>
        <w:color w:val="757575" w:themeColor="accent3" w:themeTint="98" w:themeShade="95"/>
      </w:rPr>
      <w:tblPr/>
      <w:tcPr>
        <w:tcBorders>
          <w:top w:val="single" w:color="000000" w:themeColor="accent3" w:sz="4" w:space="0"/>
        </w:tcBorders>
      </w:tcPr>
    </w:tblStylePr>
  </w:style>
  <w:style w:type="table" w:styleId="1486">
    <w:name w:val="List Table 6 Colorful - Accent 4"/>
    <w:basedOn w:val="1517"/>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4" w:space="0"/>
        </w:tcBorders>
      </w:tcPr>
    </w:tblStylePr>
    <w:tblStylePr w:type="lastCol">
      <w:rPr>
        <w:b/>
        <w:color w:val="CD9600" w:themeColor="accent4" w:themeTint="9a" w:themeShade="95"/>
      </w:rPr>
      <w:tblPr/>
    </w:tblStylePr>
    <w:tblStylePr w:type="lastRow">
      <w:rPr>
        <w:b/>
        <w:color w:val="CD9600" w:themeColor="accent4" w:themeTint="9a" w:themeShade="95"/>
      </w:rPr>
      <w:tblPr/>
      <w:tcPr>
        <w:tcBorders>
          <w:top w:val="single" w:color="000000" w:themeColor="accent4" w:sz="4" w:space="0"/>
        </w:tcBorders>
      </w:tcPr>
    </w:tblStylePr>
  </w:style>
  <w:style w:type="table" w:styleId="1487">
    <w:name w:val="List Table 6 Colorful - Accent 5"/>
    <w:basedOn w:val="1517"/>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404040" w:themeColor="accent5" w:themeTint="9a" w:themeShade="95"/>
        <w:sz w:val="22"/>
      </w:rPr>
      <w:tblPr/>
    </w:tblStylePr>
    <w:tblStylePr w:type="firstCol">
      <w:rPr>
        <w:b/>
        <w:color w:val="2E78B1" w:themeColor="accent5" w:themeTint="9a" w:themeShade="95"/>
      </w:rPr>
      <w:tblPr/>
    </w:tblStylePr>
    <w:tblStylePr w:type="firstRow">
      <w:rPr>
        <w:b/>
        <w:color w:val="2E78B1" w:themeColor="accent5" w:themeTint="9a" w:themeShade="95"/>
      </w:rPr>
      <w:tblPr/>
      <w:tcPr>
        <w:tcBorders>
          <w:bottom w:val="single" w:color="000000" w:themeColor="accent5" w:sz="4" w:space="0"/>
        </w:tcBorders>
      </w:tcPr>
    </w:tblStylePr>
    <w:tblStylePr w:type="lastCol">
      <w:rPr>
        <w:b/>
        <w:color w:val="2E78B1" w:themeColor="accent5" w:themeTint="9a" w:themeShade="95"/>
      </w:rPr>
      <w:tblPr/>
    </w:tblStylePr>
    <w:tblStylePr w:type="lastRow">
      <w:rPr>
        <w:b/>
        <w:color w:val="2E78B1" w:themeColor="accent5" w:themeTint="9a" w:themeShade="95"/>
      </w:rPr>
      <w:tblPr/>
      <w:tcPr>
        <w:tcBorders>
          <w:top w:val="single" w:color="000000" w:themeColor="accent5" w:sz="4" w:space="0"/>
        </w:tcBorders>
      </w:tcPr>
    </w:tblStylePr>
  </w:style>
  <w:style w:type="table" w:styleId="1488">
    <w:name w:val="List Table 6 Colorful - Accent 6"/>
    <w:basedOn w:val="1517"/>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404040" w:themeColor="accent6" w:themeTint="98" w:themeShade="95"/>
        <w:sz w:val="22"/>
      </w:rPr>
      <w:tblPr/>
    </w:tblStylePr>
    <w:tblStylePr w:type="firstCol">
      <w:rPr>
        <w:b/>
        <w:color w:val="5F8F3C" w:themeColor="accent6" w:themeTint="98" w:themeShade="95"/>
      </w:rPr>
      <w:tblPr/>
    </w:tblStylePr>
    <w:tblStylePr w:type="firstRow">
      <w:rPr>
        <w:b/>
        <w:color w:val="5F8F3C" w:themeColor="accent6" w:themeTint="98" w:themeShade="95"/>
      </w:rPr>
      <w:tblPr/>
      <w:tcPr>
        <w:tcBorders>
          <w:bottom w:val="single" w:color="000000" w:themeColor="accent6" w:sz="4" w:space="0"/>
        </w:tcBorders>
      </w:tcPr>
    </w:tblStylePr>
    <w:tblStylePr w:type="lastCol">
      <w:rPr>
        <w:b/>
        <w:color w:val="5F8F3C" w:themeColor="accent6" w:themeTint="98" w:themeShade="95"/>
      </w:rPr>
      <w:tblPr/>
    </w:tblStylePr>
    <w:tblStylePr w:type="lastRow">
      <w:rPr>
        <w:b/>
        <w:color w:val="5F8F3C" w:themeColor="accent6" w:themeTint="98" w:themeShade="95"/>
      </w:rPr>
      <w:tblPr/>
      <w:tcPr>
        <w:tcBorders>
          <w:top w:val="single" w:color="000000" w:themeColor="accent6" w:sz="4" w:space="0"/>
        </w:tcBorders>
      </w:tcPr>
    </w:tblStylePr>
  </w:style>
  <w:style w:type="table" w:styleId="1489">
    <w:name w:val="List Table 7 Colorful"/>
    <w:basedOn w:val="1517"/>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styleId="1490">
    <w:name w:val="List Table 7 Colorful - Accent 1"/>
    <w:basedOn w:val="1517"/>
    <w:uiPriority w:val="99"/>
    <w:pPr>
      <w:spacing w:after="0" w:line="240" w:lineRule="auto"/>
    </w:pPr>
    <w:tblPr>
      <w:tblStyleRowBandSize w:val="1"/>
      <w:tblStyleColBandSize w:val="1"/>
      <w:tblBorders>
        <w:right w:val="single" w:color="000000" w:themeColor="accent1" w:sz="4" w:space="0"/>
      </w:tblBorders>
    </w:tblPr>
    <w:tblStylePr w:type="band1Horz">
      <w:rPr>
        <w:color w:val="254374"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254374" w:themeColor="accent1" w:themeShade="95"/>
        <w:sz w:val="22"/>
      </w:rPr>
      <w:tblPr/>
    </w:tblStylePr>
    <w:tblStylePr w:type="firstCol">
      <w:pPr>
        <w:jc w:val="right"/>
      </w:pPr>
      <w:rPr>
        <w:i/>
        <w:color w:val="254374"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54374"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54374"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54374"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val="254374" w:themeColor="accent1" w:themeShade="95"/>
        <w:sz w:val="22"/>
      </w:rPr>
      <w:tblPr/>
    </w:tblStylePr>
  </w:style>
  <w:style w:type="table" w:styleId="1491">
    <w:name w:val="List Table 7 Colorful - Accent 2"/>
    <w:basedOn w:val="1517"/>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95712"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C957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957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C957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val="C95712" w:themeColor="accent2" w:themeTint="97" w:themeShade="95"/>
        <w:sz w:val="22"/>
      </w:rPr>
      <w:tblPr/>
    </w:tblStylePr>
  </w:style>
  <w:style w:type="table" w:styleId="1492">
    <w:name w:val="List Table 7 Colorful - Accent 3"/>
    <w:basedOn w:val="1517"/>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57575"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757575" w:themeColor="accent3" w:themeTint="98" w:themeShade="95"/>
        <w:sz w:val="22"/>
      </w:rPr>
      <w:tblPr/>
    </w:tblStylePr>
    <w:tblStylePr w:type="firstCol">
      <w:pPr>
        <w:jc w:val="right"/>
      </w:pPr>
      <w:rPr>
        <w:i/>
        <w:color w:val="757575"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57575"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57575"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57575"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val="757575" w:themeColor="accent3" w:themeTint="98" w:themeShade="95"/>
        <w:sz w:val="22"/>
      </w:rPr>
      <w:tblPr/>
    </w:tblStylePr>
  </w:style>
  <w:style w:type="table" w:styleId="1493">
    <w:name w:val="List Table 7 Colorful - Accent 4"/>
    <w:basedOn w:val="1517"/>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CD960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CD96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CD96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CD96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val="CD9600" w:themeColor="accent4" w:themeTint="9a" w:themeShade="95"/>
        <w:sz w:val="22"/>
      </w:rPr>
      <w:tblPr/>
    </w:tblStylePr>
  </w:style>
  <w:style w:type="table" w:styleId="1494">
    <w:name w:val="List Table 7 Colorful - Accent 5"/>
    <w:basedOn w:val="1517"/>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2E78B1"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2E78B1" w:themeColor="accent5" w:themeTint="9a" w:themeShade="95"/>
        <w:sz w:val="22"/>
      </w:rPr>
      <w:tblPr/>
    </w:tblStylePr>
    <w:tblStylePr w:type="firstCol">
      <w:pPr>
        <w:jc w:val="right"/>
      </w:pPr>
      <w:rPr>
        <w:i/>
        <w:color w:val="2E78B1"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2E78B1"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E78B1"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2E78B1"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val="2E78B1" w:themeColor="accent5" w:themeTint="9a" w:themeShade="95"/>
        <w:sz w:val="22"/>
      </w:rPr>
      <w:tblPr/>
    </w:tblStylePr>
  </w:style>
  <w:style w:type="table" w:styleId="1495">
    <w:name w:val="List Table 7 Colorful - Accent 6"/>
    <w:basedOn w:val="1517"/>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F8F3C"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5F8F3C" w:themeColor="accent6" w:themeTint="98" w:themeShade="95"/>
        <w:sz w:val="22"/>
      </w:rPr>
      <w:tblPr/>
    </w:tblStylePr>
    <w:tblStylePr w:type="firstCol">
      <w:pPr>
        <w:jc w:val="right"/>
      </w:pPr>
      <w:rPr>
        <w:i/>
        <w:color w:val="5F8F3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5F8F3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5F8F3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5F8F3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val="5F8F3C" w:themeColor="accent6" w:themeTint="98" w:themeShade="95"/>
        <w:sz w:val="22"/>
      </w:rPr>
      <w:tblPr/>
    </w:tblStylePr>
  </w:style>
  <w:style w:type="table" w:styleId="1496">
    <w:name w:val="Lined - Accent"/>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0"/>
      </w:tcPr>
    </w:tblStylePr>
    <w:tblStylePr w:type="band2Vert">
      <w:rPr>
        <w:color w:val="404040"/>
        <w:sz w:val="22"/>
      </w:rPr>
      <w:tblPr/>
      <w:tcPr>
        <w:shd w:val="clear" w:color="FFFFFF" w:fill="F2F2F2" w:themeFill="text1" w:themeFillTint="0"/>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497">
    <w:name w:val="Lined - Accent 1"/>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498">
    <w:name w:val="Lined - Accent 2"/>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499">
    <w:name w:val="Lined - Accent 3"/>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500">
    <w:name w:val="Lined - Accent 4"/>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501">
    <w:name w:val="Lined - Accent 5"/>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502">
    <w:name w:val="Lined - Accent 6"/>
    <w:basedOn w:val="1517"/>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503">
    <w:name w:val="Bordered &amp; Lined - Accent"/>
    <w:basedOn w:val="1517"/>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0"/>
      </w:tcPr>
    </w:tblStylePr>
    <w:tblStylePr w:type="band2Vert">
      <w:rPr>
        <w:color w:val="404040"/>
        <w:sz w:val="22"/>
      </w:rPr>
      <w:tblPr/>
      <w:tcPr>
        <w:shd w:val="clear" w:color="FFFFFF" w:fill="F2F2F2" w:themeFill="text1" w:themeFillTint="0"/>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504">
    <w:name w:val="Bordered &amp; Lined - Accent 1"/>
    <w:basedOn w:val="1517"/>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505">
    <w:name w:val="Bordered &amp; Lined - Accent 2"/>
    <w:basedOn w:val="1517"/>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506">
    <w:name w:val="Bordered &amp; Lined - Accent 3"/>
    <w:basedOn w:val="1517"/>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507">
    <w:name w:val="Bordered &amp; Lined - Accent 4"/>
    <w:basedOn w:val="1517"/>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508">
    <w:name w:val="Bordered &amp; Lined - Accent 5"/>
    <w:basedOn w:val="1517"/>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509">
    <w:name w:val="Bordered &amp; Lined - Accent 6"/>
    <w:basedOn w:val="1517"/>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510">
    <w:name w:val="Bordered"/>
    <w:basedOn w:val="1517"/>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511">
    <w:name w:val="Bordered - Accent 1"/>
    <w:basedOn w:val="1517"/>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512">
    <w:name w:val="Bordered - Accent 2"/>
    <w:basedOn w:val="1517"/>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513">
    <w:name w:val="Bordered - Accent 3"/>
    <w:basedOn w:val="1517"/>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514">
    <w:name w:val="Bordered - Accent 4"/>
    <w:basedOn w:val="1517"/>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515">
    <w:name w:val="Bordered - Accent 5"/>
    <w:basedOn w:val="1517"/>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516">
    <w:name w:val="Bordered - Accent 6"/>
    <w:basedOn w:val="1517"/>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1517">
    <w:name w:val="Normal Table"/>
    <w:uiPriority w:val="99"/>
    <w:semiHidden/>
    <w:unhideWhenUsed/>
    <w:tblPr>
      <w:tblCellMar>
        <w:left w:w="108" w:type="dxa"/>
        <w:top w:w="0" w:type="dxa"/>
        <w:right w:w="108" w:type="dxa"/>
        <w:bottom w:w="0" w:type="dxa"/>
      </w:tblCellMar>
    </w:tblPr>
  </w:style>
  <w:style w:type="table" w:customStyle="1" w:styleId="1518">
    <w:name w:val="[РГ] Таблица"/>
    <w:basedOn w:val="1517"/>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jc w:val="center"/>
      </w:pPr>
      <w:rPr>
        <w:b/>
      </w:rPr>
      <w:tblPr/>
    </w:tblStylePr>
  </w:style>
  <w:style w:type="table" w:styleId="1519">
    <w:name w:val="Table Grid"/>
    <w:basedOn w:val="1517"/>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rushydro.roseltorg.ru/" TargetMode="External"/><Relationship Id="rId4" Type="http://schemas.openxmlformats.org/officeDocument/2006/relationships/hyperlink" Target="http://dgk@dgk.ru" TargetMode="External"/><Relationship Id="rId5" Type="http://schemas.openxmlformats.org/officeDocument/2006/relationships/hyperlink" Target="http://banschikova-iv@dgk.ru" TargetMode="External"/><Relationship Id="rId6" Type="http://schemas.openxmlformats.org/officeDocument/2006/relationships/hyperlink" Target="http://banschikova-iv@dg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image" Target="media/image2.png"/><Relationship Id="rId14" Type="http://schemas.openxmlformats.org/officeDocument/2006/relationships/header" Target="header4.xml"/><Relationship Id="rId15" Type="http://schemas.openxmlformats.org/officeDocument/2006/relationships/header" Target="header5.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header" Target="header6.xml"/><Relationship Id="rId19" Type="http://schemas.openxmlformats.org/officeDocument/2006/relationships/header" Target="header7.xml"/><Relationship Id="rId20" Type="http://schemas.openxmlformats.org/officeDocument/2006/relationships/footer" Target="footer6.xml"/><Relationship Id="rId21" Type="http://schemas.openxmlformats.org/officeDocument/2006/relationships/footer" Target="footer7.xml"/><Relationship Id="rId22" Type="http://schemas.openxmlformats.org/officeDocument/2006/relationships/image" Target="media/image3.png"/><Relationship Id="rId23" Type="http://schemas.openxmlformats.org/officeDocument/2006/relationships/image" Target="media/image4.png"/><Relationship Id="rId24" Type="http://schemas.openxmlformats.org/officeDocument/2006/relationships/header" Target="header8.xml"/><Relationship Id="rId25" Type="http://schemas.openxmlformats.org/officeDocument/2006/relationships/header" Target="header9.xml"/><Relationship Id="rId26" Type="http://schemas.openxmlformats.org/officeDocument/2006/relationships/footer" Target="footer8.xml"/><Relationship Id="rId27" Type="http://schemas.openxmlformats.org/officeDocument/2006/relationships/footer" Target="footer9.xml"/><Relationship Id="rId28" Type="http://schemas.openxmlformats.org/officeDocument/2006/relationships/header" Target="header10.xml"/><Relationship Id="rId29" Type="http://schemas.openxmlformats.org/officeDocument/2006/relationships/header" Target="header11.xml"/><Relationship Id="rId30" Type="http://schemas.openxmlformats.org/officeDocument/2006/relationships/footer" Target="footer10.xml"/><Relationship Id="rId31" Type="http://schemas.openxmlformats.org/officeDocument/2006/relationships/footer" Target="footer11.xml"/><Relationship Id="rId32" Type="http://schemas.openxmlformats.org/officeDocument/2006/relationships/image" Target="media/image5.png"/><Relationship Id="rId33" Type="http://schemas.openxmlformats.org/officeDocument/2006/relationships/header" Target="header12.xml"/><Relationship Id="rId34" Type="http://schemas.openxmlformats.org/officeDocument/2006/relationships/header" Target="header13.xml"/><Relationship Id="rId35" Type="http://schemas.openxmlformats.org/officeDocument/2006/relationships/footer" Target="footer12.xml"/><Relationship Id="rId36" Type="http://schemas.openxmlformats.org/officeDocument/2006/relationships/footer" Target="footer13.xml"/><Relationship Id="rId37" Type="http://schemas.openxmlformats.org/officeDocument/2006/relationships/image" Target="media/image6.png"/><Relationship Id="rId38" Type="http://schemas.openxmlformats.org/officeDocument/2006/relationships/image" Target="media/image7.png"/><Relationship Id="rId39" Type="http://schemas.openxmlformats.org/officeDocument/2006/relationships/header" Target="header14.xml"/><Relationship Id="rId40" Type="http://schemas.openxmlformats.org/officeDocument/2006/relationships/header" Target="header15.xml"/><Relationship Id="rId41" Type="http://schemas.openxmlformats.org/officeDocument/2006/relationships/footer" Target="footer14.xml"/><Relationship Id="rId42" Type="http://schemas.openxmlformats.org/officeDocument/2006/relationships/footer" Target="footer15.xml"/><Relationship Id="rId43" Type="http://schemas.openxmlformats.org/officeDocument/2006/relationships/footnotes" Target="footnotes.xm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Relationship Id="rId4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79D7F-DA38-4440-9D23-59CEA030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Application>AlterOffice/2025.3.1.0$Linux_X86_64 LibreOffice_project/431cd1b79110582f53535c95ed0a2449aadc8bf9</Application>
  <AppVersion>15.0000</AppVersion>
  <Pages>83</Pages>
  <Words>21716</Words>
  <Characters>152032</Characters>
  <CharactersWithSpaces>171913</CharactersWithSpaces>
  <Paragraphs>1233</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2025-08-28T11:09:00Z</dcterms:created>
  <dc:creator>Владимир Щербаков</dc:creator>
  <dc:description/>
  <cp:keywords>Типовая форма</cp:keywords>
  <dc:language>ru-RU</dc:language>
  <cp:lastModifiedBy>klyshko_ra@DGK.RU</cp:lastModifiedBy>
  <cp:lastPrinted>2026-08-31T10:13:25Z</cp:lastPrinted>
  <dcterms:modified xsi:type="dcterms:W3CDTF">2026-08-31T10:44:34Z</dcterms:modified>
  <cp:revision>57</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